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BD9C0" w14:textId="77777777" w:rsidR="000C584E" w:rsidRPr="00BF55AA" w:rsidRDefault="00F60725" w:rsidP="00753E14">
      <w:pPr>
        <w:pStyle w:val="CPTitle"/>
        <w:contextualSpacing w:val="0"/>
        <w:rPr>
          <w:sz w:val="22"/>
          <w:szCs w:val="22"/>
          <w:lang w:val="id-ID"/>
        </w:rPr>
      </w:pPr>
      <w:r w:rsidRPr="00F60725">
        <w:rPr>
          <w:sz w:val="22"/>
          <w:szCs w:val="22"/>
          <w:lang w:val="id-ID"/>
        </w:rPr>
        <w:t>NEW ENVIRONMENTAL PARADIGM (NEP) DAN  PERILAKU PRO-LINGKUNGAN PENCAPAIAN TUJUAN KE 13 SUSTAINABLE DEVELOPMENT GOALS (SDGS)</w:t>
      </w:r>
    </w:p>
    <w:p w14:paraId="294D6EE5" w14:textId="77777777" w:rsidR="0085755D" w:rsidRPr="00BF55AA" w:rsidRDefault="0085755D" w:rsidP="00094DE5">
      <w:pPr>
        <w:widowControl w:val="0"/>
        <w:autoSpaceDE w:val="0"/>
        <w:autoSpaceDN w:val="0"/>
        <w:adjustRightInd w:val="0"/>
        <w:spacing w:before="15"/>
        <w:rPr>
          <w:sz w:val="22"/>
          <w:lang w:val="id-ID"/>
        </w:rPr>
      </w:pPr>
    </w:p>
    <w:p w14:paraId="1AA4205C" w14:textId="77777777" w:rsidR="00E77B2F" w:rsidRPr="00475F4A" w:rsidRDefault="00F60725" w:rsidP="00E77B2F">
      <w:pPr>
        <w:pStyle w:val="CPAuthor"/>
        <w:rPr>
          <w:sz w:val="22"/>
          <w:vertAlign w:val="superscript"/>
          <w:lang w:val="id-ID" w:bidi="en-US"/>
        </w:rPr>
      </w:pPr>
      <w:r w:rsidRPr="00F60725">
        <w:rPr>
          <w:sz w:val="22"/>
          <w:lang w:val="sv-SE" w:bidi="en-US"/>
        </w:rPr>
        <w:t>Gufron Amirullah</w:t>
      </w:r>
      <w:r w:rsidRPr="00F60725">
        <w:rPr>
          <w:sz w:val="22"/>
          <w:vertAlign w:val="superscript"/>
          <w:lang w:val="sv-SE" w:bidi="en-US"/>
        </w:rPr>
        <w:t>1</w:t>
      </w:r>
      <w:r w:rsidRPr="00F60725">
        <w:rPr>
          <w:sz w:val="22"/>
          <w:lang w:val="sv-SE" w:bidi="en-US"/>
        </w:rPr>
        <w:t>,  Sintia Pelitaningsih</w:t>
      </w:r>
      <w:r w:rsidRPr="00F60725">
        <w:rPr>
          <w:sz w:val="22"/>
          <w:vertAlign w:val="superscript"/>
          <w:lang w:val="sv-SE" w:bidi="en-US"/>
        </w:rPr>
        <w:t>2</w:t>
      </w:r>
      <w:r w:rsidR="00E263A2">
        <w:rPr>
          <w:sz w:val="22"/>
          <w:lang w:val="sv-SE" w:bidi="en-US"/>
        </w:rPr>
        <w:t xml:space="preserve">, </w:t>
      </w:r>
      <w:r w:rsidR="004040F0">
        <w:rPr>
          <w:sz w:val="22"/>
          <w:lang w:val="sv-SE" w:bidi="en-US"/>
        </w:rPr>
        <w:t>Meitiyani</w:t>
      </w:r>
      <w:r w:rsidR="00812C84">
        <w:rPr>
          <w:sz w:val="22"/>
          <w:vertAlign w:val="superscript"/>
          <w:lang w:val="sv-SE" w:bidi="en-US"/>
        </w:rPr>
        <w:t>3</w:t>
      </w:r>
    </w:p>
    <w:p w14:paraId="257A22BE" w14:textId="77777777" w:rsidR="0085755D" w:rsidRPr="00BF55AA" w:rsidRDefault="00B32E71" w:rsidP="00094DE5">
      <w:pPr>
        <w:pStyle w:val="CPAuthor"/>
        <w:spacing w:line="240" w:lineRule="auto"/>
        <w:ind w:right="0"/>
        <w:rPr>
          <w:rStyle w:val="Hyperlink"/>
          <w:b w:val="0"/>
          <w:sz w:val="22"/>
          <w:szCs w:val="22"/>
          <w:lang w:val="sv-SE"/>
        </w:rPr>
      </w:pPr>
      <w:r w:rsidRPr="00BF55AA">
        <w:rPr>
          <w:sz w:val="22"/>
          <w:szCs w:val="22"/>
          <w:lang w:val="sv-SE"/>
        </w:rPr>
        <w:t>Email :</w:t>
      </w:r>
      <w:r w:rsidRPr="00BF55AA">
        <w:rPr>
          <w:b w:val="0"/>
          <w:sz w:val="22"/>
          <w:szCs w:val="22"/>
          <w:lang w:val="sv-SE"/>
        </w:rPr>
        <w:t xml:space="preserve"> </w:t>
      </w:r>
      <w:hyperlink r:id="rId8" w:history="1">
        <w:r w:rsidR="00F60725" w:rsidRPr="00475F4A">
          <w:rPr>
            <w:rStyle w:val="Hyperlink"/>
            <w:b w:val="0"/>
            <w:bCs w:val="0"/>
            <w:lang w:val="id-ID"/>
          </w:rPr>
          <w:t>gufron_amirullah@uhamka.ac.id</w:t>
        </w:r>
      </w:hyperlink>
      <w:r w:rsidR="002E1238" w:rsidRPr="00475F4A">
        <w:rPr>
          <w:b w:val="0"/>
          <w:bCs w:val="0"/>
          <w:lang w:val="id-ID"/>
        </w:rPr>
        <w:t xml:space="preserve">, </w:t>
      </w:r>
      <w:hyperlink r:id="rId9" w:history="1">
        <w:r w:rsidR="002E1238" w:rsidRPr="00475F4A">
          <w:rPr>
            <w:rStyle w:val="Hyperlink"/>
            <w:b w:val="0"/>
            <w:bCs w:val="0"/>
            <w:lang w:val="id-ID"/>
          </w:rPr>
          <w:t>sintyapelitaningsih@gmail.com</w:t>
        </w:r>
      </w:hyperlink>
      <w:r w:rsidR="00382D6E" w:rsidRPr="00475F4A">
        <w:rPr>
          <w:b w:val="0"/>
          <w:bCs w:val="0"/>
          <w:lang w:val="id-ID"/>
        </w:rPr>
        <w:t xml:space="preserve">, </w:t>
      </w:r>
      <w:hyperlink r:id="rId10" w:history="1">
        <w:r w:rsidR="00382D6E" w:rsidRPr="00475F4A">
          <w:rPr>
            <w:rStyle w:val="Hyperlink"/>
            <w:b w:val="0"/>
            <w:bCs w:val="0"/>
            <w:lang w:val="id-ID"/>
          </w:rPr>
          <w:t>meitiyani@uhamka.ac.id</w:t>
        </w:r>
      </w:hyperlink>
      <w:r w:rsidR="00382D6E" w:rsidRPr="00475F4A">
        <w:rPr>
          <w:lang w:val="id-ID"/>
        </w:rPr>
        <w:t xml:space="preserve"> </w:t>
      </w:r>
    </w:p>
    <w:p w14:paraId="5993AB23" w14:textId="77777777" w:rsidR="0085755D" w:rsidRPr="00475F4A" w:rsidRDefault="00614BEA" w:rsidP="00E77B2F">
      <w:pPr>
        <w:pStyle w:val="CPAuthor"/>
        <w:rPr>
          <w:b w:val="0"/>
          <w:spacing w:val="-5"/>
          <w:sz w:val="22"/>
          <w:szCs w:val="22"/>
          <w:lang w:val="id-ID"/>
        </w:rPr>
      </w:pPr>
      <w:r w:rsidRPr="00475F4A">
        <w:rPr>
          <w:b w:val="0"/>
          <w:spacing w:val="-5"/>
          <w:sz w:val="22"/>
          <w:szCs w:val="22"/>
          <w:vertAlign w:val="superscript"/>
          <w:lang w:val="id-ID"/>
        </w:rPr>
        <w:t xml:space="preserve">1,2,3 </w:t>
      </w:r>
      <w:r w:rsidR="00F60725" w:rsidRPr="00475F4A">
        <w:rPr>
          <w:b w:val="0"/>
          <w:spacing w:val="-5"/>
          <w:sz w:val="22"/>
          <w:szCs w:val="22"/>
          <w:lang w:val="id-ID"/>
        </w:rPr>
        <w:t>Program Studi Pendidikan Biologi Universitas Muhammadiyah Prof. Dr. HAMKA</w:t>
      </w:r>
      <w:r w:rsidR="005664D1" w:rsidRPr="00475F4A">
        <w:rPr>
          <w:b w:val="0"/>
          <w:spacing w:val="-5"/>
          <w:sz w:val="22"/>
          <w:szCs w:val="22"/>
          <w:lang w:val="id-ID"/>
        </w:rPr>
        <w:t>, Indonesia</w:t>
      </w:r>
      <w:r w:rsidR="00376039" w:rsidRPr="00475F4A">
        <w:rPr>
          <w:b w:val="0"/>
          <w:spacing w:val="-5"/>
          <w:sz w:val="22"/>
          <w:szCs w:val="22"/>
          <w:lang w:val="id-ID"/>
        </w:rPr>
        <w:t xml:space="preserve">, </w:t>
      </w:r>
    </w:p>
    <w:p w14:paraId="11194EEF" w14:textId="77777777" w:rsidR="00E77B2F" w:rsidRPr="00475F4A" w:rsidRDefault="00E77B2F" w:rsidP="00094DE5">
      <w:pPr>
        <w:rPr>
          <w:b/>
          <w:spacing w:val="-1"/>
          <w:sz w:val="22"/>
          <w:lang w:val="id-ID"/>
        </w:rPr>
      </w:pPr>
    </w:p>
    <w:p w14:paraId="12F5EBE9" w14:textId="77777777" w:rsidR="0085755D" w:rsidRPr="00475F4A" w:rsidRDefault="0085755D" w:rsidP="00094DE5">
      <w:pPr>
        <w:rPr>
          <w:b/>
          <w:sz w:val="22"/>
          <w:lang w:val="id-ID"/>
        </w:rPr>
      </w:pPr>
      <w:r w:rsidRPr="00475F4A">
        <w:rPr>
          <w:b/>
          <w:spacing w:val="-1"/>
          <w:sz w:val="22"/>
          <w:lang w:val="id-ID"/>
        </w:rPr>
        <w:t>A</w:t>
      </w:r>
      <w:r w:rsidRPr="00475F4A">
        <w:rPr>
          <w:b/>
          <w:spacing w:val="-3"/>
          <w:sz w:val="22"/>
          <w:lang w:val="id-ID"/>
        </w:rPr>
        <w:t>b</w:t>
      </w:r>
      <w:r w:rsidRPr="00475F4A">
        <w:rPr>
          <w:b/>
          <w:sz w:val="22"/>
          <w:lang w:val="id-ID"/>
        </w:rPr>
        <w:t>s</w:t>
      </w:r>
      <w:r w:rsidRPr="00475F4A">
        <w:rPr>
          <w:b/>
          <w:spacing w:val="-1"/>
          <w:sz w:val="22"/>
          <w:lang w:val="id-ID"/>
        </w:rPr>
        <w:t>t</w:t>
      </w:r>
      <w:r w:rsidRPr="00475F4A">
        <w:rPr>
          <w:b/>
          <w:sz w:val="22"/>
          <w:lang w:val="id-ID"/>
        </w:rPr>
        <w:t>ra</w:t>
      </w:r>
      <w:r w:rsidRPr="00475F4A">
        <w:rPr>
          <w:b/>
          <w:spacing w:val="-3"/>
          <w:sz w:val="22"/>
          <w:lang w:val="id-ID"/>
        </w:rPr>
        <w:t>k</w:t>
      </w:r>
    </w:p>
    <w:p w14:paraId="7F680F40" w14:textId="1AC25EDC" w:rsidR="0085755D" w:rsidRPr="00475F4A" w:rsidRDefault="00F60725" w:rsidP="00094DE5">
      <w:pPr>
        <w:ind w:firstLine="720"/>
        <w:rPr>
          <w:color w:val="191919"/>
          <w:sz w:val="22"/>
          <w:lang w:val="id-ID"/>
        </w:rPr>
      </w:pPr>
      <w:r w:rsidRPr="00475F4A">
        <w:rPr>
          <w:color w:val="191919"/>
          <w:sz w:val="22"/>
          <w:lang w:val="id-ID"/>
        </w:rPr>
        <w:t>Paradigma lingkungan hidup dinilai masih rendah dalam melihat partisipasi masyarakat sebagai penjaga lingkungan hidup. Pembelajaran dan pendidikan yang mengedepankan perilaku pro lingkungan dan Paradigma Lingkungan Baru (NEP) diharapkan dapat memberikan kesadaran dan pembaharuan kepada masyarakat bahwa lingkungan dan manusia merupakan satu kesatuan demi kelestarian bumi. Penelitian ini merupakan penelitian kuantitatif korelasional dan menggunakan skala NEP dan instrumen Pro-Environmental Behavior. Sampel dalam penelitian ini adalah mahasiswa yang pernah mengikuti mata kuliah lingkungan pendidikan yang dihitung menggunakan purposive sampling sehingga diperoleh 89 responden. Hasil kuesioner menunjukkan bahwa masing-masing indikator mempunyai kategori tinggi. Indikator Anti Exemptionism sebesar 76% berada pada kategori baik, artinya mahasiswa calon guru biologi sudah dapat bertanggungjawab terhadap permasalahan lingkungan hidup. Indikator Anti Antoposentrisme sebesar 76% berada pada kategori baik artinya siswa calon guru biologi belum memiliki ego yang tinggi terhadap lingkungan. Hasil penelitian prasyarat analisis uji normalitas menggunakan Kolmogorov Smirnov dengan nilai signifikansi 0,200 &gt; 0,05 maka berdistribusi normal. Uji linearitas menunjukkan nilai signifikansi 0,956 &gt; 0,05 sehingga terdapat hubungan linier. Sedangkan hasil uji hipotesis sebesar 0,46 &gt; 0,20 dan nilai signifikansi sebesar 0,000 yang berarti kurang dari 0,5. Maka hipotesis alternatif diterima. Besarnya hubungan NEP dengan perilaku Pro Lingkungan sebesar 0,215 atau 22% dengan korelasi rendah dan derajat hubungan positif</w:t>
      </w:r>
      <w:r w:rsidR="00E77B2F" w:rsidRPr="00475F4A">
        <w:rPr>
          <w:color w:val="191919"/>
          <w:sz w:val="22"/>
          <w:lang w:val="id-ID"/>
        </w:rPr>
        <w:t>.</w:t>
      </w:r>
    </w:p>
    <w:p w14:paraId="561E00A3" w14:textId="77777777" w:rsidR="0085755D" w:rsidRPr="00BF55AA" w:rsidRDefault="0085755D" w:rsidP="00094DE5">
      <w:pPr>
        <w:ind w:firstLine="720"/>
        <w:rPr>
          <w:sz w:val="22"/>
          <w:lang w:val="id-ID"/>
        </w:rPr>
      </w:pPr>
    </w:p>
    <w:p w14:paraId="580B46C1" w14:textId="77777777" w:rsidR="00BF55AA" w:rsidRPr="00475F4A" w:rsidRDefault="0085755D" w:rsidP="00BF55AA">
      <w:pPr>
        <w:rPr>
          <w:b/>
          <w:i/>
          <w:sz w:val="22"/>
          <w:lang w:val="it-IT"/>
        </w:rPr>
      </w:pPr>
      <w:r w:rsidRPr="00BF55AA">
        <w:rPr>
          <w:b/>
          <w:sz w:val="22"/>
          <w:lang w:val="id-ID"/>
        </w:rPr>
        <w:t>Kata Kunci</w:t>
      </w:r>
      <w:r w:rsidRPr="00475F4A">
        <w:rPr>
          <w:b/>
          <w:sz w:val="22"/>
          <w:lang w:val="it-IT"/>
        </w:rPr>
        <w:t xml:space="preserve"> : </w:t>
      </w:r>
      <w:r w:rsidR="00F60725" w:rsidRPr="001B71E5">
        <w:rPr>
          <w:bCs/>
          <w:iCs/>
          <w:sz w:val="22"/>
          <w:lang w:val="it-IT"/>
        </w:rPr>
        <w:t>Model Perilaku, Perilaku Pro Lingkungan, Sikap Lingkungan</w:t>
      </w:r>
    </w:p>
    <w:p w14:paraId="43A63646" w14:textId="77777777" w:rsidR="0085755D" w:rsidRPr="00BF55AA" w:rsidRDefault="0085755D" w:rsidP="00094DE5">
      <w:pPr>
        <w:pStyle w:val="AbstakIndo"/>
        <w:suppressAutoHyphens/>
        <w:spacing w:before="240" w:line="240" w:lineRule="auto"/>
        <w:rPr>
          <w:rFonts w:ascii="Times New Roman" w:hAnsi="Times New Roman" w:cs="Times New Roman"/>
          <w:iCs/>
          <w:position w:val="-14"/>
          <w:sz w:val="22"/>
          <w:szCs w:val="22"/>
        </w:rPr>
      </w:pPr>
      <w:r w:rsidRPr="00BF55AA">
        <w:rPr>
          <w:rFonts w:ascii="Times New Roman" w:hAnsi="Times New Roman" w:cs="Times New Roman"/>
          <w:b/>
          <w:bCs/>
          <w:iCs/>
          <w:position w:val="-14"/>
          <w:sz w:val="22"/>
          <w:szCs w:val="22"/>
        </w:rPr>
        <w:t>Abstract</w:t>
      </w:r>
    </w:p>
    <w:p w14:paraId="5A7D054D" w14:textId="283B2234" w:rsidR="0085755D" w:rsidRPr="00801603" w:rsidRDefault="007100E1" w:rsidP="00094DE5">
      <w:pPr>
        <w:pStyle w:val="NoSpacing"/>
        <w:spacing w:line="240" w:lineRule="auto"/>
        <w:ind w:firstLine="720"/>
        <w:rPr>
          <w:rFonts w:ascii="Times New Roman" w:hAnsi="Times New Roman" w:cs="Times New Roman"/>
          <w:i/>
          <w:color w:val="191919"/>
          <w:sz w:val="22"/>
          <w:szCs w:val="22"/>
          <w:lang w:val="en"/>
        </w:rPr>
      </w:pPr>
      <w:r w:rsidRPr="007100E1">
        <w:rPr>
          <w:rFonts w:ascii="Times New Roman" w:hAnsi="Times New Roman" w:cs="Times New Roman"/>
          <w:i/>
          <w:color w:val="191919"/>
          <w:sz w:val="22"/>
          <w:szCs w:val="22"/>
          <w:lang w:val="en-GB"/>
        </w:rPr>
        <w:t xml:space="preserve">The environmental paradigm is considered to be still low in seeing community participation as guardians of the environment. Learning and education that prioritizes pro-environmental </w:t>
      </w:r>
      <w:proofErr w:type="spellStart"/>
      <w:r w:rsidRPr="007100E1">
        <w:rPr>
          <w:rFonts w:ascii="Times New Roman" w:hAnsi="Times New Roman" w:cs="Times New Roman"/>
          <w:i/>
          <w:color w:val="191919"/>
          <w:sz w:val="22"/>
          <w:szCs w:val="22"/>
          <w:lang w:val="en-GB"/>
        </w:rPr>
        <w:t>behavior</w:t>
      </w:r>
      <w:proofErr w:type="spellEnd"/>
      <w:r w:rsidRPr="007100E1">
        <w:rPr>
          <w:rFonts w:ascii="Times New Roman" w:hAnsi="Times New Roman" w:cs="Times New Roman"/>
          <w:i/>
          <w:color w:val="191919"/>
          <w:sz w:val="22"/>
          <w:szCs w:val="22"/>
          <w:lang w:val="en-GB"/>
        </w:rPr>
        <w:t xml:space="preserve"> and the New Environmental Paradigm (NEP) is expected to provide awareness and renewal to society that the environment and humans are one unit for the sake of preserving the earth. This research is </w:t>
      </w:r>
      <w:proofErr w:type="gramStart"/>
      <w:r w:rsidRPr="007100E1">
        <w:rPr>
          <w:rFonts w:ascii="Times New Roman" w:hAnsi="Times New Roman" w:cs="Times New Roman"/>
          <w:i/>
          <w:color w:val="191919"/>
          <w:sz w:val="22"/>
          <w:szCs w:val="22"/>
          <w:lang w:val="en-GB"/>
        </w:rPr>
        <w:t>a correlational quantitative research</w:t>
      </w:r>
      <w:proofErr w:type="gramEnd"/>
      <w:r w:rsidRPr="007100E1">
        <w:rPr>
          <w:rFonts w:ascii="Times New Roman" w:hAnsi="Times New Roman" w:cs="Times New Roman"/>
          <w:i/>
          <w:color w:val="191919"/>
          <w:sz w:val="22"/>
          <w:szCs w:val="22"/>
          <w:lang w:val="en-GB"/>
        </w:rPr>
        <w:t xml:space="preserve"> and uses the NEP scale and the Pro-Environmental </w:t>
      </w:r>
      <w:proofErr w:type="spellStart"/>
      <w:r w:rsidRPr="007100E1">
        <w:rPr>
          <w:rFonts w:ascii="Times New Roman" w:hAnsi="Times New Roman" w:cs="Times New Roman"/>
          <w:i/>
          <w:color w:val="191919"/>
          <w:sz w:val="22"/>
          <w:szCs w:val="22"/>
          <w:lang w:val="en-GB"/>
        </w:rPr>
        <w:t>Behavior</w:t>
      </w:r>
      <w:proofErr w:type="spellEnd"/>
      <w:r w:rsidRPr="007100E1">
        <w:rPr>
          <w:rFonts w:ascii="Times New Roman" w:hAnsi="Times New Roman" w:cs="Times New Roman"/>
          <w:i/>
          <w:color w:val="191919"/>
          <w:sz w:val="22"/>
          <w:szCs w:val="22"/>
          <w:lang w:val="en-GB"/>
        </w:rPr>
        <w:t xml:space="preserve"> instrument. The sample in this study were students who had taken environmental education courses which were calculated using purposive sampling to obtain 89 respondents. The results of the questionnaire show that each indicator has a high category. The Anti-</w:t>
      </w:r>
      <w:proofErr w:type="spellStart"/>
      <w:r w:rsidRPr="007100E1">
        <w:rPr>
          <w:rFonts w:ascii="Times New Roman" w:hAnsi="Times New Roman" w:cs="Times New Roman"/>
          <w:i/>
          <w:color w:val="191919"/>
          <w:sz w:val="22"/>
          <w:szCs w:val="22"/>
          <w:lang w:val="en-GB"/>
        </w:rPr>
        <w:t>Exemptionism</w:t>
      </w:r>
      <w:proofErr w:type="spellEnd"/>
      <w:r w:rsidRPr="007100E1">
        <w:rPr>
          <w:rFonts w:ascii="Times New Roman" w:hAnsi="Times New Roman" w:cs="Times New Roman"/>
          <w:i/>
          <w:color w:val="191919"/>
          <w:sz w:val="22"/>
          <w:szCs w:val="22"/>
          <w:lang w:val="en-GB"/>
        </w:rPr>
        <w:t xml:space="preserve"> indicator of 76% is in the good category, meaning that prospective biology teacher students can be responsible for environmental problems. The Anti-</w:t>
      </w:r>
      <w:proofErr w:type="spellStart"/>
      <w:r w:rsidRPr="007100E1">
        <w:rPr>
          <w:rFonts w:ascii="Times New Roman" w:hAnsi="Times New Roman" w:cs="Times New Roman"/>
          <w:i/>
          <w:color w:val="191919"/>
          <w:sz w:val="22"/>
          <w:szCs w:val="22"/>
          <w:lang w:val="en-GB"/>
        </w:rPr>
        <w:t>Anthopocentrism</w:t>
      </w:r>
      <w:proofErr w:type="spellEnd"/>
      <w:r w:rsidRPr="007100E1">
        <w:rPr>
          <w:rFonts w:ascii="Times New Roman" w:hAnsi="Times New Roman" w:cs="Times New Roman"/>
          <w:i/>
          <w:color w:val="191919"/>
          <w:sz w:val="22"/>
          <w:szCs w:val="22"/>
          <w:lang w:val="en-GB"/>
        </w:rPr>
        <w:t xml:space="preserve"> indicator of 76% is in the good category, meaning that prospective biology teacher students do not have a high ego towards the environment. The research results prerequisite for normality test analysis using Kolmogorov Smirnov with a significance value of 0.200 &gt; 0.05, so the distribution is normal. The linearity test shows a significance value of 0.956 &gt; 0.05 so there is a linear relationship. Meanwhile, the hypothesis test results were 0.46 &gt; 0.20 and the significance value was 0.000, which means less than 0.5. </w:t>
      </w:r>
      <w:proofErr w:type="gramStart"/>
      <w:r w:rsidRPr="007100E1">
        <w:rPr>
          <w:rFonts w:ascii="Times New Roman" w:hAnsi="Times New Roman" w:cs="Times New Roman"/>
          <w:i/>
          <w:color w:val="191919"/>
          <w:sz w:val="22"/>
          <w:szCs w:val="22"/>
          <w:lang w:val="en-GB"/>
        </w:rPr>
        <w:t>So</w:t>
      </w:r>
      <w:proofErr w:type="gramEnd"/>
      <w:r w:rsidRPr="007100E1">
        <w:rPr>
          <w:rFonts w:ascii="Times New Roman" w:hAnsi="Times New Roman" w:cs="Times New Roman"/>
          <w:i/>
          <w:color w:val="191919"/>
          <w:sz w:val="22"/>
          <w:szCs w:val="22"/>
          <w:lang w:val="en-GB"/>
        </w:rPr>
        <w:t xml:space="preserve"> the alternative hypothesis is accepted. The magnitude of the relationship between NEP and pro-environment </w:t>
      </w:r>
      <w:proofErr w:type="spellStart"/>
      <w:r w:rsidRPr="007100E1">
        <w:rPr>
          <w:rFonts w:ascii="Times New Roman" w:hAnsi="Times New Roman" w:cs="Times New Roman"/>
          <w:i/>
          <w:color w:val="191919"/>
          <w:sz w:val="22"/>
          <w:szCs w:val="22"/>
          <w:lang w:val="en-GB"/>
        </w:rPr>
        <w:t>behavior</w:t>
      </w:r>
      <w:proofErr w:type="spellEnd"/>
      <w:r w:rsidRPr="007100E1">
        <w:rPr>
          <w:rFonts w:ascii="Times New Roman" w:hAnsi="Times New Roman" w:cs="Times New Roman"/>
          <w:i/>
          <w:color w:val="191919"/>
          <w:sz w:val="22"/>
          <w:szCs w:val="22"/>
          <w:lang w:val="en-GB"/>
        </w:rPr>
        <w:t xml:space="preserve"> is 0.215 or 22% with a low correlation and a positive degree of </w:t>
      </w:r>
      <w:proofErr w:type="gramStart"/>
      <w:r w:rsidRPr="007100E1">
        <w:rPr>
          <w:rFonts w:ascii="Times New Roman" w:hAnsi="Times New Roman" w:cs="Times New Roman"/>
          <w:i/>
          <w:color w:val="191919"/>
          <w:sz w:val="22"/>
          <w:szCs w:val="22"/>
          <w:lang w:val="en-GB"/>
        </w:rPr>
        <w:t>relationship.</w:t>
      </w:r>
      <w:r w:rsidR="006B0789" w:rsidRPr="006B0789">
        <w:rPr>
          <w:rFonts w:ascii="Times New Roman" w:hAnsi="Times New Roman" w:cs="Times New Roman"/>
          <w:i/>
          <w:color w:val="191919"/>
          <w:sz w:val="22"/>
          <w:szCs w:val="22"/>
          <w:lang w:val="en"/>
        </w:rPr>
        <w:t>.</w:t>
      </w:r>
      <w:proofErr w:type="gramEnd"/>
    </w:p>
    <w:p w14:paraId="09414E11" w14:textId="77777777" w:rsidR="0085755D" w:rsidRPr="00BF55AA" w:rsidRDefault="0085755D" w:rsidP="00094DE5">
      <w:pPr>
        <w:rPr>
          <w:sz w:val="22"/>
          <w:lang w:val="id-ID"/>
        </w:rPr>
      </w:pPr>
    </w:p>
    <w:p w14:paraId="295C95A7" w14:textId="77777777" w:rsidR="0032632A" w:rsidRPr="00BF55AA" w:rsidRDefault="0085755D" w:rsidP="00094DE5">
      <w:pPr>
        <w:rPr>
          <w:b/>
          <w:i/>
          <w:color w:val="191919"/>
          <w:sz w:val="22"/>
          <w:lang w:val="en-US"/>
        </w:rPr>
        <w:sectPr w:rsidR="0032632A" w:rsidRPr="00BF55AA" w:rsidSect="00776F95">
          <w:headerReference w:type="even" r:id="rId11"/>
          <w:headerReference w:type="default" r:id="rId12"/>
          <w:footerReference w:type="even" r:id="rId13"/>
          <w:footerReference w:type="default" r:id="rId14"/>
          <w:pgSz w:w="11907" w:h="16839" w:code="9"/>
          <w:pgMar w:top="1440" w:right="1440" w:bottom="1440" w:left="1440" w:header="964" w:footer="964" w:gutter="0"/>
          <w:pgNumType w:start="668"/>
          <w:cols w:space="708"/>
          <w:docGrid w:linePitch="360"/>
        </w:sectPr>
      </w:pPr>
      <w:proofErr w:type="gramStart"/>
      <w:r w:rsidRPr="00BF55AA">
        <w:rPr>
          <w:b/>
          <w:color w:val="191919"/>
          <w:sz w:val="22"/>
          <w:lang w:val="en-US"/>
        </w:rPr>
        <w:t>Keywords :</w:t>
      </w:r>
      <w:proofErr w:type="gramEnd"/>
      <w:r w:rsidRPr="00BF55AA">
        <w:rPr>
          <w:b/>
          <w:color w:val="191919"/>
          <w:sz w:val="22"/>
          <w:lang w:val="en-US"/>
        </w:rPr>
        <w:t xml:space="preserve"> </w:t>
      </w:r>
      <w:r w:rsidR="00F60725" w:rsidRPr="007100E1">
        <w:rPr>
          <w:bCs/>
          <w:i/>
          <w:color w:val="191919"/>
          <w:sz w:val="22"/>
          <w:lang w:val="id-ID"/>
        </w:rPr>
        <w:t>Behavior model, Pro-environmental Behaviors, Environmental attitude</w:t>
      </w:r>
    </w:p>
    <w:p w14:paraId="5FE5F957" w14:textId="77777777" w:rsidR="007B2F36" w:rsidRPr="00BF55AA" w:rsidRDefault="00AF18E9" w:rsidP="00094DE5">
      <w:pPr>
        <w:widowControl w:val="0"/>
        <w:autoSpaceDE w:val="0"/>
        <w:autoSpaceDN w:val="0"/>
        <w:adjustRightInd w:val="0"/>
        <w:spacing w:after="120"/>
        <w:contextualSpacing w:val="0"/>
        <w:rPr>
          <w:sz w:val="22"/>
        </w:rPr>
      </w:pPr>
      <w:proofErr w:type="spellStart"/>
      <w:r w:rsidRPr="00BF55AA">
        <w:rPr>
          <w:b/>
          <w:bCs/>
          <w:spacing w:val="-5"/>
          <w:sz w:val="22"/>
        </w:rPr>
        <w:lastRenderedPageBreak/>
        <w:t>Pendahuluan</w:t>
      </w:r>
      <w:proofErr w:type="spellEnd"/>
    </w:p>
    <w:p w14:paraId="149B57FF" w14:textId="77777777" w:rsidR="00F60725" w:rsidRPr="00F60725" w:rsidRDefault="00F60725" w:rsidP="00F60725">
      <w:pPr>
        <w:widowControl w:val="0"/>
        <w:autoSpaceDE w:val="0"/>
        <w:autoSpaceDN w:val="0"/>
        <w:adjustRightInd w:val="0"/>
        <w:ind w:firstLine="709"/>
        <w:rPr>
          <w:bCs/>
          <w:iCs/>
          <w:spacing w:val="2"/>
          <w:sz w:val="22"/>
          <w:lang w:val="id-ID" w:bidi="en-US"/>
        </w:rPr>
      </w:pPr>
      <w:bookmarkStart w:id="0" w:name="_Hlk156823911"/>
      <w:bookmarkStart w:id="1" w:name="_Hlk147447897"/>
      <w:r w:rsidRPr="00F60725">
        <w:rPr>
          <w:bCs/>
          <w:i/>
          <w:iCs/>
          <w:spacing w:val="2"/>
          <w:sz w:val="22"/>
          <w:lang w:val="id-ID" w:bidi="en-US"/>
        </w:rPr>
        <w:t xml:space="preserve">New Environmental Paradigm </w:t>
      </w:r>
      <w:r w:rsidRPr="00F60725">
        <w:rPr>
          <w:bCs/>
          <w:iCs/>
          <w:spacing w:val="2"/>
          <w:sz w:val="22"/>
          <w:lang w:val="id-ID" w:bidi="en-US"/>
        </w:rPr>
        <w:t xml:space="preserve">(NEP) mengganggap cara pandang seseorang dengan pandangan dunia berdasarkan pada keyakinan tentang hak dan tanggung jawab manusia dalam kaitannya dengan sisa alam, dan menghindari referensi untuk masalah lingkungan tertentu </w:t>
      </w:r>
      <w:r w:rsidRPr="00F60725">
        <w:rPr>
          <w:bCs/>
          <w:iCs/>
          <w:spacing w:val="2"/>
          <w:sz w:val="22"/>
          <w:lang w:val="id-ID" w:bidi="en-US"/>
        </w:rPr>
        <w:fldChar w:fldCharType="begin" w:fldLock="1"/>
      </w:r>
      <w:r>
        <w:rPr>
          <w:bCs/>
          <w:iCs/>
          <w:spacing w:val="2"/>
          <w:sz w:val="22"/>
          <w:lang w:val="id-ID" w:bidi="en-US"/>
        </w:rPr>
        <w:instrText>ADDIN CSL_CITATION {"citationItems":[{"id":"ITEM-1","itemData":{"DOI":"10.3390/su12187728","ISSN":"20711050","abstract":"Acquiring a better understanding of what drives pro-environmental and sustainable behaviour is important for both researchers and practitioners alike. The purpose of this paper is to explore the moderating role of locus of control and self-construal on the relationship between proenvironmental beliefs and pro-environmental consumer behaviour. We explicitly model the endorsement of the New Ecological Paradigm (NEP) as a predictor of three specific types of environmental behaviour-travel, purchasing and day to day activities. The results show a positive and significant association between the endorsement of NEP and a person's pro-environmental traveling behaviour, purchasing behaviour and day to day activities. Moreover, we find that the effects are moderated by a person's locus of control, specifically, it remains positive and significant only for people with an internal locus of control. However, we found no moderating effect of a person's self-construal on the association between NEP and pro-environmental behaviour. The findings are important in the continuing work to understand what is limiting consumers to behave according to their beliefs. Practical and theoretical implications of the results as well as suggestions for future research are presented.","author":[{"dropping-particle":"","family":"Derdowski","given":"Lukasz Andrzej","non-dropping-particle":"","parse-names":false,"suffix":""},{"dropping-particle":"","family":"Grahn","given":"Åsa Helen","non-dropping-particle":"","parse-names":false,"suffix":""},{"dropping-particle":"","family":"Hansen","given":"Håvard","non-dropping-particle":"","parse-names":false,"suffix":""},{"dropping-particle":"","family":"Skeiseid","given":"Heidi","non-dropping-particle":"","parse-names":false,"suffix":""}],"container-title":"Sustainability (Switzerland)","id":"ITEM-1","issue":"18","issued":{"date-parts":[["2020"]]},"page":"7-9","title":"The new ecological paradigm, pro-environmental behaviour, and the moderating effects of locus of control and self-construal","type":"article-journal","volume":"12"},"uris":["http://www.mendeley.com/documents/?uuid=add3105f-c0c8-410a-846e-b4b1065d66f0","http://www.mendeley.com/documents/?uuid=b3342b63-044e-4634-82d3-b8ee42f7803f"]}],"mendeley":{"formattedCitation":"(Derdowski et al., 2020)","plainTextFormattedCitation":"(Derdowski et al., 2020)","previouslyFormattedCitation":"(Derdowski et al., 2020)"},"properties":{"noteIndex":0},"schema":"https://github.com/citation-style-language/schema/raw/master/csl-citation.json"}</w:instrText>
      </w:r>
      <w:r w:rsidRPr="00F60725">
        <w:rPr>
          <w:bCs/>
          <w:iCs/>
          <w:spacing w:val="2"/>
          <w:sz w:val="22"/>
          <w:lang w:val="id-ID" w:bidi="en-US"/>
        </w:rPr>
        <w:fldChar w:fldCharType="separate"/>
      </w:r>
      <w:r w:rsidRPr="00F60725">
        <w:rPr>
          <w:bCs/>
          <w:iCs/>
          <w:noProof/>
          <w:spacing w:val="2"/>
          <w:sz w:val="22"/>
          <w:lang w:val="id-ID" w:bidi="en-US"/>
        </w:rPr>
        <w:t>(Derdowski et al., 2020)</w:t>
      </w:r>
      <w:r w:rsidRPr="00F60725">
        <w:rPr>
          <w:bCs/>
          <w:iCs/>
          <w:spacing w:val="2"/>
          <w:sz w:val="22"/>
          <w:lang w:val="en-US" w:bidi="en-US"/>
        </w:rPr>
        <w:fldChar w:fldCharType="end"/>
      </w:r>
      <w:r w:rsidRPr="00F60725">
        <w:rPr>
          <w:bCs/>
          <w:iCs/>
          <w:spacing w:val="2"/>
          <w:sz w:val="22"/>
          <w:lang w:val="en-US" w:bidi="en-US"/>
        </w:rPr>
        <w:t xml:space="preserve">. </w:t>
      </w:r>
      <w:r w:rsidRPr="00F60725">
        <w:rPr>
          <w:bCs/>
          <w:iCs/>
          <w:spacing w:val="2"/>
          <w:sz w:val="22"/>
          <w:lang w:val="id-ID" w:bidi="en-US"/>
        </w:rPr>
        <w:t xml:space="preserve">NEP telah menjadi skala </w:t>
      </w:r>
      <w:r w:rsidRPr="00F60725">
        <w:rPr>
          <w:bCs/>
          <w:i/>
          <w:iCs/>
          <w:spacing w:val="2"/>
          <w:sz w:val="22"/>
          <w:lang w:val="id-ID" w:bidi="en-US"/>
        </w:rPr>
        <w:t>multi-item</w:t>
      </w:r>
      <w:r w:rsidRPr="00F60725">
        <w:rPr>
          <w:bCs/>
          <w:iCs/>
          <w:spacing w:val="2"/>
          <w:sz w:val="22"/>
          <w:lang w:val="id-ID" w:bidi="en-US"/>
        </w:rPr>
        <w:t xml:space="preserve"> standar yang digunakan oleh</w:t>
      </w:r>
      <w:r w:rsidRPr="00F60725">
        <w:rPr>
          <w:bCs/>
          <w:iCs/>
          <w:spacing w:val="2"/>
          <w:sz w:val="22"/>
          <w:lang w:val="sv-SE" w:bidi="en-US"/>
        </w:rPr>
        <w:t xml:space="preserve"> </w:t>
      </w:r>
      <w:r w:rsidRPr="00F60725">
        <w:rPr>
          <w:bCs/>
          <w:iCs/>
          <w:spacing w:val="2"/>
          <w:sz w:val="22"/>
          <w:lang w:val="id-ID" w:bidi="en-US"/>
        </w:rPr>
        <w:t xml:space="preserve">penelitian </w:t>
      </w:r>
      <w:r w:rsidRPr="00F60725">
        <w:rPr>
          <w:bCs/>
          <w:i/>
          <w:iCs/>
          <w:spacing w:val="2"/>
          <w:sz w:val="22"/>
          <w:lang w:val="id-ID" w:bidi="en-US"/>
        </w:rPr>
        <w:t>longitudinal</w:t>
      </w:r>
      <w:r w:rsidRPr="00F60725">
        <w:rPr>
          <w:bCs/>
          <w:iCs/>
          <w:spacing w:val="2"/>
          <w:sz w:val="22"/>
          <w:lang w:val="id-ID" w:bidi="en-US"/>
        </w:rPr>
        <w:t xml:space="preserve"> tentang pandangan dunia terhadap lingkungan Mahasiswa di Amerika Serikat </w:t>
      </w:r>
      <w:r w:rsidRPr="00F60725">
        <w:rPr>
          <w:bCs/>
          <w:iCs/>
          <w:spacing w:val="2"/>
          <w:sz w:val="22"/>
          <w:lang w:val="id-ID" w:bidi="en-US"/>
        </w:rPr>
        <w:fldChar w:fldCharType="begin" w:fldLock="1"/>
      </w:r>
      <w:r>
        <w:rPr>
          <w:bCs/>
          <w:iCs/>
          <w:spacing w:val="2"/>
          <w:sz w:val="22"/>
          <w:lang w:val="id-ID" w:bidi="en-US"/>
        </w:rPr>
        <w:instrText>ADDIN CSL_CITATION {"citationItems":[{"id":"ITEM-1","itemData":{"DOI":"10.1080/00958964.2018.1512946","ISSN":"19401892","abstract":"Researchers have long aimed to quantify environmental attitudes, subsequently incorporating them into more comprehensive models of values, attitudes, and behaviors. However, many metrics, notably the New Environmental Paradigm scale, conflate a situated, incomplete set of environmental attitudes with pro-environmental worldviews generally. Further, the measurement of environmental worldviews is often used instrumentally to engender pro-environmental behaviors, proving problematic both theoretically and pragmatically. Three dimensions are suggested to better explain the diversity of contemporary environmentalism—view of technology, view of societal response, and view of nature. This article argues that any multi-item scale will be limited in its ability to capture a dynamic concept like environmentalism, but when used appropriately quantitative scales can engender individual and community empowerment; therefore, reassessment rather than rejection is the appropriate way forward.","author":[{"dropping-particle":"","family":"Bernstein","given":"Jennifer","non-dropping-particle":"","parse-names":false,"suffix":""},{"dropping-particle":"","family":"Szuster","given":"Brian W.","non-dropping-particle":"","parse-names":false,"suffix":""}],"container-title":"Journal of Environmental Education","id":"ITEM-1","issue":"2","issued":{"date-parts":[["2019"]]},"page":"73-83","publisher":"Routledge","title":"The new environmental paradigm scale: Reassessing the operationalization of contemporary environmentalism","type":"article-journal","volume":"50"},"uris":["http://www.mendeley.com/documents/?uuid=d119bb69-6b85-4dcc-a462-1b1a15530a66","http://www.mendeley.com/documents/?uuid=b3f812a5-9bba-4940-8b49-64110c5ed3e8","http://www.mendeley.com/documents/?uuid=89e1d26d-7c56-4e04-9028-695c68bfc08c"]}],"mendeley":{"formattedCitation":"(Bernstein &amp; Szuster, 2019)","plainTextFormattedCitation":"(Bernstein &amp; Szuster, 2019)","previouslyFormattedCitation":"(Bernstein &amp; Szuster, 2019)"},"properties":{"noteIndex":0},"schema":"https://github.com/citation-style-language/schema/raw/master/csl-citation.json"}</w:instrText>
      </w:r>
      <w:r w:rsidRPr="00F60725">
        <w:rPr>
          <w:bCs/>
          <w:iCs/>
          <w:spacing w:val="2"/>
          <w:sz w:val="22"/>
          <w:lang w:val="id-ID" w:bidi="en-US"/>
        </w:rPr>
        <w:fldChar w:fldCharType="separate"/>
      </w:r>
      <w:r w:rsidRPr="00F60725">
        <w:rPr>
          <w:bCs/>
          <w:iCs/>
          <w:noProof/>
          <w:spacing w:val="2"/>
          <w:sz w:val="22"/>
          <w:lang w:val="id-ID" w:bidi="en-US"/>
        </w:rPr>
        <w:t>(Bernstein &amp; Szuster, 2019)</w:t>
      </w:r>
      <w:r w:rsidRPr="00F60725">
        <w:rPr>
          <w:bCs/>
          <w:iCs/>
          <w:spacing w:val="2"/>
          <w:sz w:val="22"/>
          <w:lang w:val="en-US" w:bidi="en-US"/>
        </w:rPr>
        <w:fldChar w:fldCharType="end"/>
      </w:r>
      <w:r w:rsidRPr="00F60725">
        <w:rPr>
          <w:b/>
          <w:bCs/>
          <w:iCs/>
          <w:spacing w:val="2"/>
          <w:sz w:val="22"/>
          <w:lang w:val="id-ID" w:bidi="en-US"/>
        </w:rPr>
        <w:t xml:space="preserve">. </w:t>
      </w:r>
      <w:r w:rsidRPr="00F60725">
        <w:rPr>
          <w:bCs/>
          <w:iCs/>
          <w:spacing w:val="2"/>
          <w:sz w:val="22"/>
          <w:lang w:val="sv-SE" w:bidi="en-US"/>
        </w:rPr>
        <w:t xml:space="preserve">Terdapat skala NEP </w:t>
      </w:r>
      <w:r w:rsidRPr="00F60725">
        <w:rPr>
          <w:bCs/>
          <w:iCs/>
          <w:spacing w:val="2"/>
          <w:sz w:val="22"/>
          <w:lang w:val="id-ID" w:bidi="en-US"/>
        </w:rPr>
        <w:t xml:space="preserve">untuk mengukur rentang kesadaran lingkungan pribadi seseorang terhadap lingkungan </w:t>
      </w:r>
      <w:r w:rsidRPr="00F60725">
        <w:rPr>
          <w:bCs/>
          <w:iCs/>
          <w:spacing w:val="2"/>
          <w:sz w:val="22"/>
          <w:lang w:val="id-ID" w:bidi="en-US"/>
        </w:rPr>
        <w:fldChar w:fldCharType="begin" w:fldLock="1"/>
      </w:r>
      <w:r>
        <w:rPr>
          <w:bCs/>
          <w:iCs/>
          <w:spacing w:val="2"/>
          <w:sz w:val="22"/>
          <w:lang w:val="id-ID" w:bidi="en-US"/>
        </w:rPr>
        <w:instrText>ADDIN CSL_CITATION {"citationItems":[{"id":"ITEM-1","itemData":{"DOI":"10.1111/0022-4537.00176","ISSN":"00224537","abstract":"Dunlap and Van Liere's New Environmental Paradigm (NEP) Scale, published in 1978, has become a widely used measure of proenvironmental orientation. This article develops a revised NEP Scale designed to improve upon the original one in several respects: ( 1 ) It taps a wider range of facets of an ecological worldview, ( 2 ) It offers a balanced set of pro- and anti-NEP items, and ( 3 ) It avoids outmoded terminology. The new scale, termed the New Ecological Paradigm Scale, consists of 15 items. Results of a 1990 Washington State survey suggest that the items can be treated as an internally consistent summated rating scale and also indicate a modest growth in pro-NEP responses among Washington residents over the 14 years since the original study.","author":[{"dropping-particle":"","family":"Dunlap","given":"Riley E.","non-dropping-particle":"","parse-names":false,"suffix":""},{"dropping-particle":"","family":"Liere","given":"Kent D.","non-dropping-particle":"Van","parse-names":false,"suffix":""},{"dropping-particle":"","family":"Mertig","given":"Angela G.","non-dropping-particle":"","parse-names":false,"suffix":""},{"dropping-particle":"","family":"Jones","given":"Robert Emmet","non-dropping-particle":"","parse-names":false,"suffix":""}],"container-title":"Journal of Social Issues","id":"ITEM-1","issue":"3","issued":{"date-parts":[["2000"]]},"page":"425-442","title":"Measuring endorsement of the new ecological paradigm: A revised NEP scale","type":"article-journal","volume":"56"},"uris":["http://www.mendeley.com/documents/?uuid=b852b0e3-e2f4-486c-ae73-f97079bd16a9","http://www.mendeley.com/documents/?uuid=eaf8a95c-f48e-4292-bb86-4fea5684c94b","http://www.mendeley.com/documents/?uuid=4655fa70-f187-48b2-8d38-e8269a75eb39"]}],"mendeley":{"formattedCitation":"(Dunlap et al., 2000)","plainTextFormattedCitation":"(Dunlap et al., 2000)","previouslyFormattedCitation":"(Dunlap et al., 2000)"},"properties":{"noteIndex":0},"schema":"https://github.com/citation-style-language/schema/raw/master/csl-citation.json"}</w:instrText>
      </w:r>
      <w:r w:rsidRPr="00F60725">
        <w:rPr>
          <w:bCs/>
          <w:iCs/>
          <w:spacing w:val="2"/>
          <w:sz w:val="22"/>
          <w:lang w:val="id-ID" w:bidi="en-US"/>
        </w:rPr>
        <w:fldChar w:fldCharType="separate"/>
      </w:r>
      <w:bookmarkStart w:id="2" w:name="_Hlk139712255"/>
      <w:r w:rsidRPr="00F60725">
        <w:rPr>
          <w:bCs/>
          <w:iCs/>
          <w:noProof/>
          <w:spacing w:val="2"/>
          <w:sz w:val="22"/>
          <w:lang w:val="id-ID" w:bidi="en-US"/>
        </w:rPr>
        <w:t>(Dunlap et al., 2000</w:t>
      </w:r>
      <w:bookmarkEnd w:id="2"/>
      <w:r w:rsidRPr="00F60725">
        <w:rPr>
          <w:bCs/>
          <w:iCs/>
          <w:noProof/>
          <w:spacing w:val="2"/>
          <w:sz w:val="22"/>
          <w:lang w:val="id-ID" w:bidi="en-US"/>
        </w:rPr>
        <w:t>)</w:t>
      </w:r>
      <w:r w:rsidRPr="00F60725">
        <w:rPr>
          <w:bCs/>
          <w:iCs/>
          <w:spacing w:val="2"/>
          <w:sz w:val="22"/>
          <w:lang w:val="en-US" w:bidi="en-US"/>
        </w:rPr>
        <w:fldChar w:fldCharType="end"/>
      </w:r>
      <w:r w:rsidRPr="00F60725">
        <w:rPr>
          <w:bCs/>
          <w:iCs/>
          <w:spacing w:val="2"/>
          <w:sz w:val="22"/>
          <w:lang w:val="id-ID" w:bidi="en-US"/>
        </w:rPr>
        <w:t xml:space="preserve">. Cara pandang terhadap lingkungan dinilai belum maksimal untuk melihat sejauh mana masyarakat tersebut dalam menjaga lingkungan, maka dari itu perlu dihubungkan NEP dan  perilaku pro lingkungan. Perilaku pro lingkungan mencakup seluruh aktivitas manusia yang yang perduli terhadap lingkungan serta meminimalisir dampak negatif  pada lingkungan </w:t>
      </w:r>
      <w:r w:rsidRPr="00F60725">
        <w:rPr>
          <w:b/>
          <w:bCs/>
          <w:iCs/>
          <w:spacing w:val="2"/>
          <w:sz w:val="22"/>
          <w:lang w:val="id-ID" w:bidi="en-US"/>
        </w:rPr>
        <w:fldChar w:fldCharType="begin" w:fldLock="1"/>
      </w:r>
      <w:r>
        <w:rPr>
          <w:bCs/>
          <w:iCs/>
          <w:spacing w:val="2"/>
          <w:sz w:val="22"/>
          <w:lang w:val="id-ID" w:bidi="en-US"/>
        </w:rPr>
        <w:instrText>ADDIN CSL_CITATION {"citationItems":[{"id":"ITEM-1","itemData":{"DOI":"10.31004/basicedu.v6i5.3809","ISSN":"2580-3735","abstract":"Penelitian ini bertujuan untuk mengetahui perilaku pro-lingkungan peserta didik setelah diberi media pembelajaran yang berbeda (karikatur dan komik) di kelas berdasarkan gender. Metode yang digunakan eksperimen faktorial 2 x 2. Pengambilan sampel secara purposive sampling dengan 56 peserta didik SMP yang terdiri dari 28 peserta didik laki-laki dan 28 peserta didik perempuan. Data yang terkumpul bersumber dari pengambilan data dengan instrumen nontes berupa kuesioner menggunakan skala likert. Hasil perhitungan two way ANOVA menunjukkan bahwa Fhitung = 7,22 pada &gt; Ftabel pada α=0,05 = 4,16. Hasil pengujian membuktikan adanya pengaruh yang sangat signifikan antara media pembelajaran dan media pembelajaran terhadap perilaku pro-lingkungan. Adanya interaksi membuktikan bahwa masing-masing media pembelajaran memberi pengaruh yang berbeda terhadap perilaku pro-lingkungan jika diterapkan pada peserta didik dengan gender yang berbeda. Rekomendasi penelitian ini, diharapkan dapat menjadi alternatif media pembelajaran berbasis gender dalam mengukur perilaku pro-lingkungan. Selain itu, peneliti selanjutnya dapat meneliti faktor-faktor lain baik secara langsung dan tidak langsung yang mempengaruhi perilaku pro-lingkungan peserta didik.","author":[{"dropping-particle":"","family":"Baga","given":"Sisean","non-dropping-particle":"","parse-names":false,"suffix":""},{"dropping-particle":"","family":"Astuty","given":"Esthy Reko","non-dropping-particle":"","parse-names":false,"suffix":""},{"dropping-particle":"","family":"Astra","given":"I Made","non-dropping-particle":"","parse-names":false,"suffix":""},{"dropping-particle":"","family":"Budiaman","given":"Budiaman","non-dropping-particle":"","parse-names":false,"suffix":""},{"dropping-particle":"","family":"Hasanah","given":"Uswatun","non-dropping-particle":"","parse-names":false,"suffix":""}],"container-title":"Jurnal Basicedu","id":"ITEM-1","issue":"5","issued":{"date-parts":[["2022"]]},"page":"8368-8380","title":"Perilaku Pro-Lingkungan Peserta Didik Berdasarkan Media Pembelajaran dan Gender","type":"article-journal","volume":"6"},"uris":["http://www.mendeley.com/documents/?uuid=41edebc0-9d0e-43da-859e-b4878edbe375","http://www.mendeley.com/documents/?uuid=add03250-5f9b-4f35-ac2f-6130d3cc7d20"]}],"mendeley":{"formattedCitation":"(Baga et al., 2022)","plainTextFormattedCitation":"(Baga et al., 2022)","previouslyFormattedCitation":"(Baga et al., 2022)"},"properties":{"noteIndex":0},"schema":"https://github.com/citation-style-language/schema/raw/master/csl-citation.json"}</w:instrText>
      </w:r>
      <w:r w:rsidRPr="00F60725">
        <w:rPr>
          <w:b/>
          <w:bCs/>
          <w:iCs/>
          <w:spacing w:val="2"/>
          <w:sz w:val="22"/>
          <w:lang w:val="id-ID" w:bidi="en-US"/>
        </w:rPr>
        <w:fldChar w:fldCharType="separate"/>
      </w:r>
      <w:r w:rsidRPr="00F60725">
        <w:rPr>
          <w:bCs/>
          <w:iCs/>
          <w:noProof/>
          <w:spacing w:val="2"/>
          <w:sz w:val="22"/>
          <w:lang w:val="id-ID" w:bidi="en-US"/>
        </w:rPr>
        <w:t>(Baga et al., 2022)</w:t>
      </w:r>
      <w:r w:rsidRPr="00F60725">
        <w:rPr>
          <w:bCs/>
          <w:iCs/>
          <w:spacing w:val="2"/>
          <w:sz w:val="22"/>
          <w:lang w:val="en-US" w:bidi="en-US"/>
        </w:rPr>
        <w:fldChar w:fldCharType="end"/>
      </w:r>
      <w:r w:rsidRPr="00F60725">
        <w:rPr>
          <w:bCs/>
          <w:iCs/>
          <w:spacing w:val="2"/>
          <w:sz w:val="22"/>
          <w:lang w:val="id-ID" w:bidi="en-US"/>
        </w:rPr>
        <w:t>.</w:t>
      </w:r>
    </w:p>
    <w:p w14:paraId="268B9FDD" w14:textId="77777777" w:rsidR="00F60725" w:rsidRPr="00F60725" w:rsidRDefault="00F60725" w:rsidP="00F60725">
      <w:pPr>
        <w:widowControl w:val="0"/>
        <w:autoSpaceDE w:val="0"/>
        <w:autoSpaceDN w:val="0"/>
        <w:adjustRightInd w:val="0"/>
        <w:ind w:firstLine="709"/>
        <w:rPr>
          <w:bCs/>
          <w:iCs/>
          <w:spacing w:val="2"/>
          <w:sz w:val="22"/>
          <w:lang w:val="id-ID" w:bidi="en-US"/>
        </w:rPr>
      </w:pPr>
      <w:r w:rsidRPr="00F60725">
        <w:rPr>
          <w:bCs/>
          <w:iCs/>
          <w:spacing w:val="2"/>
          <w:sz w:val="22"/>
          <w:lang w:val="id-ID" w:bidi="en-US"/>
        </w:rPr>
        <w:t xml:space="preserve">Menurut </w:t>
      </w:r>
      <w:r w:rsidRPr="00F60725">
        <w:rPr>
          <w:b/>
          <w:bCs/>
          <w:iCs/>
          <w:spacing w:val="2"/>
          <w:sz w:val="22"/>
          <w:lang w:val="id-ID" w:bidi="en-US"/>
        </w:rPr>
        <w:fldChar w:fldCharType="begin" w:fldLock="1"/>
      </w:r>
      <w:r>
        <w:rPr>
          <w:bCs/>
          <w:iCs/>
          <w:spacing w:val="2"/>
          <w:sz w:val="22"/>
          <w:lang w:val="id-ID" w:bidi="en-US"/>
        </w:rPr>
        <w:instrText>ADDIN CSL_CITATION {"citationItems":[{"id":"ITEM-1","itemData":{"DOI":"10.20527/quantum.v12i1.10098","ISSN":"2086-7328","abstract":"Kerusakan lingkungan yang terjadi di Indonesia akibat dari pemanfaatan lingkungan yang belum diimbangi oleh pelestarian lingkungan. Hanya individu yang memiliki literasi, kesadaran, dan sensitivitas yang akan berkontribusi dalam menangani masalah lingkungan. Pendidikan Lingkungan Hidup (PLH) dianggap sebagai cara yang paling tepat dalam mendidik individu tersebut. PLH biasanya terintegrasi dengan pembelajaran Ilmu pengatahuan Alam.  Dalam pendidikan, guru memerankan peran yang paling vital. Guru yang berliterasi lingkungan diharapkan nantinya mampu menyiapkan agen perubahan lingkungan yang handal. Sehingga calon guru IPA perlu diteliti literasi lingkungan berupa pengetahuan lingkungan, sikap dan perilaku terhadap lingkungan yang dimilikinya. Penelitian literasi lingkungan ini melibatkan 202 mahasiswa calon guru IPA yang terdiri dari 144 mahasiswa tadris biologi, 48 mahasiswa tadris fisika, dan 40 mahasiswa tadris kimia yang digali menggunakan angket berupa tes dan non-tes yang telah peneliti kembangkan. Hasil penelitian menunjukkan bahwa pengetahuan lingkungan mahasiswa calon guru IPA masuk dalam kategori baik, sikap terhadap lingkungannya termasuk dalam kategori positif, dan perilaku terhadap lingkungan tergolong cukup baik. Kurikulum serta sarana dan prasarana perlu mendukung program peningkatan literasi lingkungan mahasiswa calon guru IPA","author":[{"dropping-particle":"","family":"Yusup","given":"Febrianawati","non-dropping-particle":"","parse-names":false,"suffix":""}],"container-title":"Quantum: Jurnal Inovasi Pendidikan Sains","id":"ITEM-1","issue":"1","issued":{"date-parts":[["2021"]]},"page":"128","title":"Profil Literasi Lingkungan Mahasiswa Calon Guru Ipa","type":"article-journal","volume":"12"},"uris":["http://www.mendeley.com/documents/?uuid=59f817ab-aa7c-4037-86ec-4981f00fe66c","http://www.mendeley.com/documents/?uuid=4d610b0a-8e10-4ad1-9f13-206f3d09bf08"]}],"mendeley":{"formattedCitation":"(Yusup, 2021)","plainTextFormattedCitation":"(Yusup, 2021)","previouslyFormattedCitation":"(Yusup, 2021)"},"properties":{"noteIndex":0},"schema":"https://github.com/citation-style-language/schema/raw/master/csl-citation.json"}</w:instrText>
      </w:r>
      <w:r w:rsidRPr="00F60725">
        <w:rPr>
          <w:b/>
          <w:bCs/>
          <w:iCs/>
          <w:spacing w:val="2"/>
          <w:sz w:val="22"/>
          <w:lang w:val="id-ID" w:bidi="en-US"/>
        </w:rPr>
        <w:fldChar w:fldCharType="separate"/>
      </w:r>
      <w:r w:rsidRPr="00F60725">
        <w:rPr>
          <w:bCs/>
          <w:iCs/>
          <w:noProof/>
          <w:spacing w:val="2"/>
          <w:sz w:val="22"/>
          <w:lang w:val="id-ID" w:bidi="en-US"/>
        </w:rPr>
        <w:t>(Yusup, 2021)</w:t>
      </w:r>
      <w:r w:rsidRPr="00F60725">
        <w:rPr>
          <w:bCs/>
          <w:iCs/>
          <w:spacing w:val="2"/>
          <w:sz w:val="22"/>
          <w:lang w:val="en-US" w:bidi="en-US"/>
        </w:rPr>
        <w:fldChar w:fldCharType="end"/>
      </w:r>
      <w:r w:rsidRPr="00F60725">
        <w:rPr>
          <w:bCs/>
          <w:iCs/>
          <w:spacing w:val="2"/>
          <w:sz w:val="22"/>
          <w:lang w:val="id-ID" w:bidi="en-US"/>
        </w:rPr>
        <w:t xml:space="preserve"> Isu pemanasan global, sampah plastik, rusaknya ekosistem laut, kebakaran dan penggundulan hutan menjadi permasalahan lingkungan yang ada di Indonesia. Cara-cara manusia mengeksploitasi sumber daya alam tidaklah berkelanjutan, suhu planet sedang naik dan hasilnya adalah cuaca ekstrim yang semakin umum terjadi</w:t>
      </w:r>
      <w:r w:rsidR="003D630C" w:rsidRPr="00475F4A">
        <w:rPr>
          <w:bCs/>
          <w:iCs/>
          <w:spacing w:val="2"/>
          <w:sz w:val="22"/>
          <w:lang w:val="id-ID" w:bidi="en-US"/>
        </w:rPr>
        <w:t xml:space="preserve"> </w:t>
      </w:r>
      <w:r w:rsidR="003D630C">
        <w:rPr>
          <w:bCs/>
          <w:iCs/>
          <w:spacing w:val="2"/>
          <w:sz w:val="22"/>
          <w:lang w:val="en-US" w:bidi="en-US"/>
        </w:rPr>
        <w:fldChar w:fldCharType="begin" w:fldLock="1"/>
      </w:r>
      <w:r w:rsidR="003D630C" w:rsidRPr="00475F4A">
        <w:rPr>
          <w:bCs/>
          <w:iCs/>
          <w:spacing w:val="2"/>
          <w:sz w:val="22"/>
          <w:lang w:val="id-ID" w:bidi="en-US"/>
        </w:rPr>
        <w:instrText>ADDIN CSL_CITATION {"citationItems":[{"id":"ITEM-1","itemData":{"DOI":"10.22437/bio.v6i1.8061","ISSN":"2580-0922","abstract":"Biology Learning Media Based on Mobile Learning is important to be developed to fulfill student’s need in industrial revolution 4.0. This study aims to determine the effect of using Biology Learning Media Based on Mobile Learning on high school students' learning interest and the creative thinking ability in Masohi City. This research is a quasi experiment with the design of Pretest-Posttest Non-Equivalent Control Group. The samples are SMA Negeri 1 Masohi and SMA Negeri 2 Masohi. The result of this study shows that there is an effect of the use of Biology Learning Media Based on Mobile Learning on learning interest and creative thinking abilities of high school students in Masohi City. Related to the results of this study, it is recommended for high school biology teachers in Masohi City to use Biology Learning Media Based on Mobile Learning in class because it gives meaningful practical experience so that students' interest in learning and creative thinking skills can be improved. Keywords: Biology Learning Media Based on Mobile Learning, Learning Interest, Creative Thinking Ability. Abstrak: Media pembelajaran biologi berbasis mobile learning penting dikembangkan untuk memenuhi kebutuhan sisw</w:instrText>
      </w:r>
      <w:r w:rsidR="003D630C">
        <w:rPr>
          <w:bCs/>
          <w:iCs/>
          <w:spacing w:val="2"/>
          <w:sz w:val="22"/>
          <w:lang w:val="en-US" w:bidi="en-US"/>
        </w:rPr>
        <w:instrText>a seiring perkembangan revolusi industri 4.0. Penelitian ini bertujuan untuk mengetahui pengaruh penggunaan media pembelajaran biologi berbasis Mobile Learning terhadap minat belajar dan kemampuan berpikir kreatif siswa SMA di Kota Masohi. Penelitian ini termasuk quasi eksperiment dengan rancangan Pretest-Postest Non-Equivalent Control Group. Sampel penelitian adalah SMA Negeri 1 Masohi dan SMA Negeri 2 Masohi. Hasil penelitian menunjukkan bahwa ada pengaruh penggunaan media pembelajaran berbasis Mobile Learning terhadap minat belajar dan kemampuan berpikir kreatif siswa SMA di Kota Masohi. Terkait dengan hasil penelitian ini, maka disarankan untuk guru-guru biologi SMA di Kota Masohi agar lebih sering menggunakan media pembelajaran berbasis Mobile Learning dalam pembelajaran di kelas karena melalui pembelajaran tersebut siswa memperoleh pengalaman praktek yang berarti (meaningful) sehingga minat belajar dan kemampuan berpikir kreatif siswa dapat ditingkatkan. Kata kunci: Media Pembelajaran Biologi Berbasis Mobile Learning, Minat Belajar, Kemampuan Berpikir Kreatif.","author":[{"dropping-particle":"","family":"Talakua","given":"Calvin","non-dropping-particle":"","parse-names":false,"suffix":""},{"dropping-particle":"","family":"Sesca Elly","given":"Sovian","non-dropping-particle":"","parse-names":false,"suffix":""}],"container-title":"BIODIK","id":"ITEM-1","issue":"1","issued":{"date-parts":[["2020","3","12"]]},"page":"46-57","title":"Pengaruh Penggunaan Media Pembelajaran Biologi Berbasis Mobile Learning terhadap Minat dan Kemampuan Berpikir Kreatif Siswa SMA Kota Masohi","type":"article-journal","volume":"6"},"uris":["http://www.mendeley.com/documents/?uuid=cf64fea0-eae8-4c21-9b4b-dff5163ace23"]}],"mendeley":{"formattedCitation":"(Talakua &amp; Sesca Elly, 2020)","plainTextFormattedCitation":"(Talakua &amp; Sesca Elly, 2020)","previouslyFormattedCitation":"(Talakua &amp; Sesca Elly, 2020)"},"properties":{"noteIndex":0},"schema":"https://github.com/citation-style-language/schema/raw/master/csl-citation.json"}</w:instrText>
      </w:r>
      <w:r w:rsidR="003D630C">
        <w:rPr>
          <w:bCs/>
          <w:iCs/>
          <w:spacing w:val="2"/>
          <w:sz w:val="22"/>
          <w:lang w:val="en-US" w:bidi="en-US"/>
        </w:rPr>
        <w:fldChar w:fldCharType="separate"/>
      </w:r>
      <w:r w:rsidR="003D630C" w:rsidRPr="003D630C">
        <w:rPr>
          <w:bCs/>
          <w:iCs/>
          <w:noProof/>
          <w:spacing w:val="2"/>
          <w:sz w:val="22"/>
          <w:lang w:val="en-US" w:bidi="en-US"/>
        </w:rPr>
        <w:t>(Talakua &amp; Sesca Elly, 2020)</w:t>
      </w:r>
      <w:r w:rsidR="003D630C">
        <w:rPr>
          <w:bCs/>
          <w:iCs/>
          <w:spacing w:val="2"/>
          <w:sz w:val="22"/>
          <w:lang w:val="en-US" w:bidi="en-US"/>
        </w:rPr>
        <w:fldChar w:fldCharType="end"/>
      </w:r>
      <w:r w:rsidRPr="00F60725">
        <w:rPr>
          <w:bCs/>
          <w:iCs/>
          <w:spacing w:val="2"/>
          <w:sz w:val="22"/>
          <w:lang w:val="id-ID" w:bidi="en-US"/>
        </w:rPr>
        <w:t xml:space="preserve">. Pada saat yang bersamaan keanekaragaman hayati terus menurun pada tingkat yang mengkhawatirkan. Hutan hancur dan spesies satwa menurun secara derastis, Mengalami kenaikan permukaan air laut, kerusakan pada organisme dan ekosistem, perubaan iklim, dan pengaruh terhadap ketersediaan air dan pertanian </w:t>
      </w:r>
      <w:r w:rsidRPr="00F60725">
        <w:rPr>
          <w:b/>
          <w:bCs/>
          <w:iCs/>
          <w:spacing w:val="2"/>
          <w:sz w:val="22"/>
          <w:lang w:val="id-ID" w:bidi="en-US"/>
        </w:rPr>
        <w:fldChar w:fldCharType="begin" w:fldLock="1"/>
      </w:r>
      <w:r>
        <w:rPr>
          <w:bCs/>
          <w:iCs/>
          <w:spacing w:val="2"/>
          <w:sz w:val="22"/>
          <w:lang w:val="id-ID" w:bidi="en-US"/>
        </w:rPr>
        <w:instrText>ADDIN CSL_CITATION {"citationItems":[{"id":"ITEM-1","itemData":{"author":[{"dropping-particle":"","family":"Lundegård","given":"Susie Broquist","non-dropping-particle":"","parse-names":false,"suffix":""},{"dropping-particle":"","family":"Sellgren","given":"Germund","non-dropping-particle":"","parse-names":false,"suffix":""},{"dropping-particle":"","family":"Demetriades","given":"Mathias","non-dropping-particle":"","parse-names":false,"suffix":""}],"id":"ITEM-1","issued":{"date-parts":[["2020"]]},"page":"1-39","title":"Belajar Cara Hidup Berkelanjutan","type":"article-journal"},"uris":["http://www.mendeley.com/documents/?uuid=1b5457e2-a5d0-489f-9a9b-b1b4d44561d1","http://www.mendeley.com/documents/?uuid=a00302ec-a09d-4be9-8b8c-25bd8643d694"]}],"mendeley":{"formattedCitation":"(Lundegård et al., 2020)","plainTextFormattedCitation":"(Lundegård et al., 2020)","previouslyFormattedCitation":"(Lundegård et al., 2020)"},"properties":{"noteIndex":0},"schema":"https://github.com/citation-style-language/schema/raw/master/csl-citation.json"}</w:instrText>
      </w:r>
      <w:r w:rsidRPr="00F60725">
        <w:rPr>
          <w:b/>
          <w:bCs/>
          <w:iCs/>
          <w:spacing w:val="2"/>
          <w:sz w:val="22"/>
          <w:lang w:val="id-ID" w:bidi="en-US"/>
        </w:rPr>
        <w:fldChar w:fldCharType="separate"/>
      </w:r>
      <w:r w:rsidRPr="00F60725">
        <w:rPr>
          <w:bCs/>
          <w:iCs/>
          <w:noProof/>
          <w:spacing w:val="2"/>
          <w:sz w:val="22"/>
          <w:lang w:val="id-ID" w:bidi="en-US"/>
        </w:rPr>
        <w:t>(Lundegård et al., 2020)</w:t>
      </w:r>
      <w:r w:rsidRPr="00F60725">
        <w:rPr>
          <w:bCs/>
          <w:iCs/>
          <w:spacing w:val="2"/>
          <w:sz w:val="22"/>
          <w:lang w:val="en-US" w:bidi="en-US"/>
        </w:rPr>
        <w:fldChar w:fldCharType="end"/>
      </w:r>
      <w:r w:rsidRPr="00F60725">
        <w:rPr>
          <w:bCs/>
          <w:iCs/>
          <w:spacing w:val="2"/>
          <w:sz w:val="22"/>
          <w:lang w:val="id-ID" w:bidi="en-US"/>
        </w:rPr>
        <w:t xml:space="preserve">. </w:t>
      </w:r>
    </w:p>
    <w:p w14:paraId="5580AD09" w14:textId="77777777" w:rsidR="00F60725" w:rsidRPr="00F60725" w:rsidRDefault="00F60725" w:rsidP="00F60725">
      <w:pPr>
        <w:widowControl w:val="0"/>
        <w:autoSpaceDE w:val="0"/>
        <w:autoSpaceDN w:val="0"/>
        <w:adjustRightInd w:val="0"/>
        <w:ind w:firstLine="709"/>
        <w:rPr>
          <w:bCs/>
          <w:iCs/>
          <w:spacing w:val="2"/>
          <w:sz w:val="22"/>
          <w:lang w:val="id-ID" w:bidi="en-US"/>
        </w:rPr>
      </w:pPr>
      <w:r w:rsidRPr="00F60725">
        <w:rPr>
          <w:bCs/>
          <w:iCs/>
          <w:spacing w:val="2"/>
          <w:sz w:val="22"/>
          <w:lang w:val="id-ID" w:bidi="en-US"/>
        </w:rPr>
        <w:t xml:space="preserve">Permasalahan tersebut di atur dalam undang-undang </w:t>
      </w:r>
      <w:r w:rsidRPr="00F60725">
        <w:rPr>
          <w:bCs/>
          <w:iCs/>
          <w:spacing w:val="2"/>
          <w:sz w:val="22"/>
          <w:lang w:val="id-ID" w:bidi="en-US"/>
        </w:rPr>
        <w:tab/>
        <w:t xml:space="preserve">No. 59 tahun 2017 tentang pelaksanaan dan Pencapaian Tujuan Pembangunan Berkelanjutan </w:t>
      </w:r>
      <w:r w:rsidRPr="00F60725">
        <w:rPr>
          <w:bCs/>
          <w:iCs/>
          <w:spacing w:val="2"/>
          <w:sz w:val="22"/>
          <w:lang w:val="en-US" w:bidi="en-US"/>
        </w:rPr>
        <w:fldChar w:fldCharType="begin" w:fldLock="1"/>
      </w:r>
      <w:r>
        <w:rPr>
          <w:bCs/>
          <w:iCs/>
          <w:spacing w:val="2"/>
          <w:sz w:val="22"/>
          <w:lang w:val="id-ID" w:bidi="en-US"/>
        </w:rPr>
        <w:instrText>ADDIN CSL_CITATION {"citationItems":[{"id":"ITEM-1","itemData":{"author":[{"dropping-particle":"","family":"Ardianto","given":"Donny","non-dropping-particle":"","parse-names":false,"suffix":""},{"dropping-particle":"","family":"Hamong","given":"Santoso","non-dropping-particle":"","parse-names":false,"suffix":""}],"id":"ITEM-1","issued":{"date-parts":[["2017"]]},"page":"1-10","title":"Peraturan Presiden 59 / 2017 : Apresiasi dan Beberapa Catatan","type":"article-journal"},"uris":["http://www.mendeley.com/documents/?uuid=546e996f-62ac-4041-a3c4-a03482f61cb7","http://www.mendeley.com/documents/?uuid=63c1947d-fe2e-4e1a-b8d7-d537f6158371","http://www.mendeley.com/documents/?uuid=8f595cd3-8f52-4122-b99b-10e8efc00d3c"]}],"mendeley":{"formattedCitation":"(Ardianto &amp; Hamong, 2017)","plainTextFormattedCitation":"(Ardianto &amp; Hamong, 2017)","previouslyFormattedCitation":"(Ardianto &amp; Hamong, 2017)"},"properties":{"noteIndex":0},"schema":"https://github.com/citation-style-language/schema/raw/master/csl-citation.json"}</w:instrText>
      </w:r>
      <w:r w:rsidRPr="00F60725">
        <w:rPr>
          <w:bCs/>
          <w:iCs/>
          <w:spacing w:val="2"/>
          <w:sz w:val="22"/>
          <w:lang w:val="en-US" w:bidi="en-US"/>
        </w:rPr>
        <w:fldChar w:fldCharType="separate"/>
      </w:r>
      <w:r w:rsidRPr="00F60725">
        <w:rPr>
          <w:bCs/>
          <w:iCs/>
          <w:noProof/>
          <w:spacing w:val="2"/>
          <w:sz w:val="22"/>
          <w:lang w:val="id-ID" w:bidi="en-US"/>
        </w:rPr>
        <w:t>(Ardianto &amp; Hamong, 2017)</w:t>
      </w:r>
      <w:r w:rsidRPr="00F60725">
        <w:rPr>
          <w:bCs/>
          <w:iCs/>
          <w:spacing w:val="2"/>
          <w:sz w:val="22"/>
          <w:lang w:val="en-US" w:bidi="en-US"/>
        </w:rPr>
        <w:fldChar w:fldCharType="end"/>
      </w:r>
      <w:r w:rsidRPr="00F60725">
        <w:rPr>
          <w:bCs/>
          <w:iCs/>
          <w:spacing w:val="2"/>
          <w:sz w:val="22"/>
          <w:lang w:val="id-ID" w:bidi="en-US"/>
        </w:rPr>
        <w:t xml:space="preserve">. SDGs memiliki 17 tujuan yang terbagi menjadi 4 pilar yang salah satunya adalah pembangunan lingkungan. </w:t>
      </w:r>
      <w:r w:rsidRPr="00F60725">
        <w:rPr>
          <w:bCs/>
          <w:iCs/>
          <w:spacing w:val="2"/>
          <w:sz w:val="22"/>
          <w:lang w:val="sv-SE" w:bidi="en-US"/>
        </w:rPr>
        <w:t xml:space="preserve">Fokus dalam penelitian ini yaitu pada tujuan ke 13 SDGs terkait penangan perubahan iklim </w:t>
      </w:r>
      <w:r w:rsidRPr="00F60725">
        <w:rPr>
          <w:bCs/>
          <w:iCs/>
          <w:spacing w:val="2"/>
          <w:sz w:val="22"/>
          <w:lang w:val="id-ID" w:bidi="en-US"/>
        </w:rPr>
        <w:fldChar w:fldCharType="begin" w:fldLock="1"/>
      </w:r>
      <w:r>
        <w:rPr>
          <w:bCs/>
          <w:iCs/>
          <w:spacing w:val="2"/>
          <w:sz w:val="22"/>
          <w:lang w:val="id-ID" w:bidi="en-US"/>
        </w:rPr>
        <w:instrText>ADDIN CSL_CITATION {"citationItems":[{"id":"ITEM-1","itemData":{"DOI":"10.1016/j.jclepro.2018.09.242","ISSN":"09596526","abstract":"The Sustainable Development Goals agreed by the United Nations in September 2015 comprise 17 goals and 169 targets aimed at integrating matters related to sustainable development into the overall economic, environmental and social frameworks of countries. Whereas the SDGs have a global dimension, their action implementation depends on the level of priority different countries give to them, and on how sustainability issues compete with a country's main problems. The aim of this paper was to identify the main Sustainable Development Goals approached by experts from different geographic regions, according to their experience and research area, and to discuss the relation between these goals and the main local issues and challenges of each region. The methodology starts with snowball sampling to collect information from experts from all geographic regions, through contact networks of universities in different countries. With the information about the goals researched by the participating experts, an analysis of the relation between the study focus and the geographical regions of origin was conducted. A total of 266 specialists from North America, Latin America/Caribbean, Africa, Asia, Europe and Oceania participated in the survey. Based on the sample used, it can be said that there is a relation between the local problems or challenges observed in some regions and the main areas of interest of the surveyed experts, with a general emphasis on the study of goals 4, 11 and 13. Based on the data gathered, the paper presents a set of examples of positive and negative situations in the various regions, and considers the extent to which some Sustainable Development Goals are being pursued by research on a worldwide basis.","author":[{"dropping-particle":"","family":"Salvia","given":"Amanda Lange","non-dropping-particle":"","parse-names":false,"suffix":""},{"dropping-particle":"","family":"Leal Filho","given":"Walter","non-dropping-particle":"","parse-names":false,"suffix":""},{"dropping-particle":"","family":"Brandli","given":"Luciana Londero","non-dropping-particle":"","parse-names":false,"suffix":""},{"dropping-particle":"","family":"Griebeler","given":"Juliane Sapper","non-dropping-particle":"","parse-names":false,"suffix":""}],"container-title":"Journal of Cleaner Production","id":"ITEM-1","issued":{"date-parts":[["2019"]]},"page":"841-849","publisher":"Elsevier B.V.","title":"Assessing research trends related to Sustainable Development Goals: local and global issues","type":"article-journal","volume":"208"},"uris":["http://www.mendeley.com/documents/?uuid=a935e0b7-d1fe-4131-a2c5-c6754a02b75b","http://www.mendeley.com/documents/?uuid=9b91cb8d-5fb0-4606-85bc-3fb2ba8dd2bb"]}],"mendeley":{"formattedCitation":"(Salvia et al., 2019)","plainTextFormattedCitation":"(Salvia et al., 2019)","previouslyFormattedCitation":"(Salvia et al., 2019)"},"properties":{"noteIndex":0},"schema":"https://github.com/citation-style-language/schema/raw/master/csl-citation.json"}</w:instrText>
      </w:r>
      <w:r w:rsidRPr="00F60725">
        <w:rPr>
          <w:bCs/>
          <w:iCs/>
          <w:spacing w:val="2"/>
          <w:sz w:val="22"/>
          <w:lang w:val="id-ID" w:bidi="en-US"/>
        </w:rPr>
        <w:fldChar w:fldCharType="separate"/>
      </w:r>
      <w:r w:rsidRPr="00F60725">
        <w:rPr>
          <w:bCs/>
          <w:iCs/>
          <w:noProof/>
          <w:spacing w:val="2"/>
          <w:sz w:val="22"/>
          <w:lang w:val="id-ID" w:bidi="en-US"/>
        </w:rPr>
        <w:t>(Salvia et al., 2019)</w:t>
      </w:r>
      <w:r w:rsidRPr="00F60725">
        <w:rPr>
          <w:bCs/>
          <w:iCs/>
          <w:spacing w:val="2"/>
          <w:sz w:val="22"/>
          <w:lang w:val="en-US" w:bidi="en-US"/>
        </w:rPr>
        <w:fldChar w:fldCharType="end"/>
      </w:r>
      <w:r w:rsidRPr="00F60725">
        <w:rPr>
          <w:bCs/>
          <w:iCs/>
          <w:spacing w:val="2"/>
          <w:sz w:val="22"/>
          <w:lang w:val="sv-SE" w:bidi="en-US"/>
        </w:rPr>
        <w:t xml:space="preserve">. Menurut IPCC </w:t>
      </w:r>
      <w:r w:rsidRPr="00F60725">
        <w:rPr>
          <w:bCs/>
          <w:iCs/>
          <w:spacing w:val="2"/>
          <w:sz w:val="22"/>
          <w:lang w:val="id-ID" w:bidi="en-US"/>
        </w:rPr>
        <w:t xml:space="preserve">menegaskan bahwa aktivitas manusia merupakan penyebab terjadinya perubahan iklim. Pengaruh manusia tampak terlihat dari meningkatnya gas rumah kaca (CO2, Metana, Nitrogen Oksida dan sejumlah gas industri dari aktivitas manusia </w:t>
      </w:r>
      <w:r w:rsidRPr="00F60725">
        <w:rPr>
          <w:bCs/>
          <w:iCs/>
          <w:spacing w:val="2"/>
          <w:sz w:val="22"/>
          <w:lang w:val="id-ID" w:bidi="en-US"/>
        </w:rPr>
        <w:fldChar w:fldCharType="begin" w:fldLock="1"/>
      </w:r>
      <w:r>
        <w:rPr>
          <w:bCs/>
          <w:iCs/>
          <w:spacing w:val="2"/>
          <w:sz w:val="22"/>
          <w:lang w:val="id-ID" w:bidi="en-US"/>
        </w:rPr>
        <w:instrText>ADDIN CSL_CITATION {"citationItems":[{"id":"ITEM-1","itemData":{"ISBN":"9786027401112","abstract":"Background: Familial hypercholesterolemia is a genetic disorder responsible for high levels of blood cholesterol and its further consequences. As a public health issue, its proper diagnosis and management is important for healthcare systems. Case Report: A 42-year-old patient was presented with high levels of cholesterol while having fatty liver and coronary artery disease. Her relatively extensive periorbital xanthomas were noted. Familial hypercholesterolemia was diagnosed and statin therapy was initiated with desirable follow-ups. Conclusion: Periorbital xanthomas should be kept in mind as a sign of high blood cholesterol in different diseases including familial hypercholesterolemia. Early diagnosis and proper management should be considered not forgetting the capability of Persian Medicine. © 2018 Lahore Medical And Dental College. All rights reserved.","author":[{"dropping-particle":"","family":"Masripatin","given":"Nur","non-dropping-particle":"","parse-names":false,"suffix":""},{"dropping-particle":"","family":"Ginoga","given":"Kirsafianti Linda","non-dropping-particle":"","parse-names":false,"suffix":""},{"dropping-particle":"","family":"Ridha","given":"Dida Migfar","non-dropping-particle":"","parse-names":false,"suffix":""},{"dropping-particle":"","family":"Purbo","given":"Ardina","non-dropping-particle":"","parse-names":false,"suffix":""},{"dropping-particle":"","family":"Wibowo","given":"Arif","non-dropping-particle":"","parse-names":false,"suffix":""},{"dropping-particle":"","family":"Tobing","given":"Lawin Bastian","non-dropping-particle":"","parse-names":false,"suffix":""},{"dropping-particle":"","family":"Widyaningtyas","given":"Novia","non-dropping-particle":"","parse-names":false,"suffix":""},{"dropping-particle":"","family":"Widayati","given":"Tri","non-dropping-particle":"","parse-names":false,"suffix":""},{"dropping-particle":"","family":"Bagiyono","given":"Radian","non-dropping-particle":"","parse-names":false,"suffix":""},{"dropping-particle":"","family":"Anwar","given":"Syaiful","non-dropping-particle":"","parse-names":false,"suffix":""},{"dropping-particle":"","family":"Farid","given":"Muhammad","non-dropping-particle":"","parse-names":false,"suffix":""}],"id":"ITEM-1","issued":{"date-parts":[["2016"]]},"number-of-pages":"1-69","title":"Perubahan Iklim, Perjanjian Paris dan Nationally Determined Contribution","type":"book"},"uris":["http://www.mendeley.com/documents/?uuid=8127f0fc-2d78-4536-97cf-3c00bcd4ecca","http://www.mendeley.com/documents/?uuid=53198f34-084c-4bd0-969f-1606f539707c"]}],"mendeley":{"formattedCitation":"(Masripatin et al., 2016)","plainTextFormattedCitation":"(Masripatin et al., 2016)","previouslyFormattedCitation":"(Masripatin et al., 2016)"},"properties":{"noteIndex":0},"schema":"https://github.com/citation-style-language/schema/raw/master/csl-citation.json"}</w:instrText>
      </w:r>
      <w:r w:rsidRPr="00F60725">
        <w:rPr>
          <w:bCs/>
          <w:iCs/>
          <w:spacing w:val="2"/>
          <w:sz w:val="22"/>
          <w:lang w:val="id-ID" w:bidi="en-US"/>
        </w:rPr>
        <w:fldChar w:fldCharType="separate"/>
      </w:r>
      <w:r w:rsidRPr="00F60725">
        <w:rPr>
          <w:bCs/>
          <w:iCs/>
          <w:noProof/>
          <w:spacing w:val="2"/>
          <w:sz w:val="22"/>
          <w:lang w:val="id-ID" w:bidi="en-US"/>
        </w:rPr>
        <w:t>(Masripatin et al., 2016)</w:t>
      </w:r>
      <w:r w:rsidRPr="00F60725">
        <w:rPr>
          <w:bCs/>
          <w:iCs/>
          <w:spacing w:val="2"/>
          <w:sz w:val="22"/>
          <w:lang w:val="en-US" w:bidi="en-US"/>
        </w:rPr>
        <w:fldChar w:fldCharType="end"/>
      </w:r>
      <w:r w:rsidRPr="00F60725">
        <w:rPr>
          <w:bCs/>
          <w:iCs/>
          <w:spacing w:val="2"/>
          <w:sz w:val="22"/>
          <w:lang w:val="id-ID" w:bidi="en-US"/>
        </w:rPr>
        <w:t xml:space="preserve">. Akibatnya, seluruh Indonesia akan mengalami kenaikan suhu udara, dengan garis lintang yang lebih tinggi dibandingkan daerah subtropis; wilayah Indonesia selatan akan mengalami penurunan curah hujan, sedangkan wilayah utara akan mengalami peningkatan curah hujan  </w:t>
      </w:r>
      <w:r w:rsidRPr="00F60725">
        <w:rPr>
          <w:bCs/>
          <w:iCs/>
          <w:spacing w:val="2"/>
          <w:sz w:val="22"/>
          <w:lang w:val="id-ID" w:bidi="en-US"/>
        </w:rPr>
        <w:fldChar w:fldCharType="begin" w:fldLock="1"/>
      </w:r>
      <w:r>
        <w:rPr>
          <w:bCs/>
          <w:iCs/>
          <w:spacing w:val="2"/>
          <w:sz w:val="22"/>
          <w:lang w:val="id-ID" w:bidi="en-US"/>
        </w:rPr>
        <w:instrText>ADDIN CSL_CITATION {"citationItems":[{"id":"ITEM-1","itemData":{"ISBN":"9786027401112","abstract":"Background: Familial hypercholesterolemia is a genetic disorder responsible for high levels of blood cholesterol and its further consequences. As a public health issue, its proper diagnosis and management is important for healthcare systems. Case Report: A 42-year-old patient was presented with high levels of cholesterol while having fatty liver and coronary artery disease. Her relatively extensive periorbital xanthomas were noted. Familial hypercholesterolemia was diagnosed and statin therapy was initiated with desirable follow-ups. Conclusion: Periorbital xanthomas should be kept in mind as a sign of high blood cholesterol in different diseases including familial hypercholesterolemia. Early diagnosis and proper management should be considered not forgetting the capability of Persian Medicine. © 2018 Lahore Medical And Dental College. All rights reserved.","author":[{"dropping-particle":"","family":"Masripatin","given":"Nur","non-dropping-particle":"","parse-names":false,"suffix":""},{"dropping-particle":"","family":"Ginoga","given":"Kirsafianti Linda","non-dropping-particle":"","parse-names":false,"suffix":""},{"dropping-particle":"","family":"Ridha","given":"Dida Migfar","non-dropping-particle":"","parse-names":false,"suffix":""},{"dropping-particle":"","family":"Purbo","given":"Ardina","non-dropping-particle":"","parse-names":false,"suffix":""},{"dropping-particle":"","family":"Wibowo","given":"Arif","non-dropping-particle":"","parse-names":false,"suffix":""},{"dropping-particle":"","family":"Tobing","given":"Lawin Bastian","non-dropping-particle":"","parse-names":false,"suffix":""},{"dropping-particle":"","family":"Widyaningtyas","given":"Novia","non-dropping-particle":"","parse-names":false,"suffix":""},{"dropping-particle":"","family":"Widayati","given":"Tri","non-dropping-particle":"","parse-names":false,"suffix":""},{"dropping-particle":"","family":"Bagiyono","given":"Radian","non-dropping-particle":"","parse-names":false,"suffix":""},{"dropping-particle":"","family":"Anwar","given":"Syaiful","non-dropping-particle":"","parse-names":false,"suffix":""},{"dropping-particle":"","family":"Farid","given":"Muhammad","non-dropping-particle":"","parse-names":false,"suffix":""}],"id":"ITEM-1","issued":{"date-parts":[["2016"]]},"number-of-pages":"1-69","title":"Perubahan Iklim, Perjanjian Paris dan Nationally Determined Contribution","type":"book"},"uris":["http://www.mendeley.com/documents/?uuid=53198f34-084c-4bd0-969f-1606f539707c","http://www.mendeley.com/documents/?uuid=8127f0fc-2d78-4536-97cf-3c00bcd4ecca"]}],"mendeley":{"formattedCitation":"(Masripatin et al., 2016)","plainTextFormattedCitation":"(Masripatin et al., 2016)","previouslyFormattedCitation":"(Masripatin et al., 2016)"},"properties":{"noteIndex":0},"schema":"https://github.com/citation-style-language/schema/raw/master/csl-citation.json"}</w:instrText>
      </w:r>
      <w:r w:rsidRPr="00F60725">
        <w:rPr>
          <w:bCs/>
          <w:iCs/>
          <w:spacing w:val="2"/>
          <w:sz w:val="22"/>
          <w:lang w:val="id-ID" w:bidi="en-US"/>
        </w:rPr>
        <w:fldChar w:fldCharType="separate"/>
      </w:r>
      <w:r w:rsidRPr="00F60725">
        <w:rPr>
          <w:bCs/>
          <w:iCs/>
          <w:noProof/>
          <w:spacing w:val="2"/>
          <w:sz w:val="22"/>
          <w:lang w:val="id-ID" w:bidi="en-US"/>
        </w:rPr>
        <w:t>(Masripatin et al., 2016)</w:t>
      </w:r>
      <w:r w:rsidRPr="00F60725">
        <w:rPr>
          <w:bCs/>
          <w:iCs/>
          <w:spacing w:val="2"/>
          <w:sz w:val="22"/>
          <w:lang w:val="en-US" w:bidi="en-US"/>
        </w:rPr>
        <w:fldChar w:fldCharType="end"/>
      </w:r>
      <w:r w:rsidRPr="00F60725">
        <w:rPr>
          <w:bCs/>
          <w:iCs/>
          <w:spacing w:val="2"/>
          <w:sz w:val="22"/>
          <w:lang w:val="id-ID" w:bidi="en-US"/>
        </w:rPr>
        <w:t>.</w:t>
      </w:r>
    </w:p>
    <w:p w14:paraId="447B249C" w14:textId="77777777" w:rsidR="00F60725" w:rsidRPr="00F60725" w:rsidRDefault="00F60725" w:rsidP="00F60725">
      <w:pPr>
        <w:widowControl w:val="0"/>
        <w:autoSpaceDE w:val="0"/>
        <w:autoSpaceDN w:val="0"/>
        <w:adjustRightInd w:val="0"/>
        <w:ind w:firstLine="709"/>
        <w:rPr>
          <w:bCs/>
          <w:iCs/>
          <w:spacing w:val="2"/>
          <w:sz w:val="22"/>
          <w:lang w:val="id-ID" w:bidi="en-US"/>
        </w:rPr>
      </w:pPr>
      <w:r w:rsidRPr="00F60725">
        <w:rPr>
          <w:bCs/>
          <w:iCs/>
          <w:spacing w:val="2"/>
          <w:sz w:val="22"/>
          <w:lang w:val="sv-SE" w:bidi="en-US"/>
        </w:rPr>
        <w:t xml:space="preserve">Permasalahan di atas terjadi karena kurangnya kesadaran masyarakat dalam menjaga lingkunga, sehingga pentingnya menanamkan kesadaran masyarakat dalam menjaga lingkungan sejak dini. Untuk mengatasi hal tersebut yaitu melalui Pendidikan formal </w:t>
      </w:r>
      <w:r w:rsidRPr="00F60725">
        <w:rPr>
          <w:bCs/>
          <w:iCs/>
          <w:spacing w:val="2"/>
          <w:sz w:val="22"/>
          <w:lang w:val="en-US" w:bidi="en-US"/>
        </w:rPr>
        <w:fldChar w:fldCharType="begin" w:fldLock="1"/>
      </w:r>
      <w:r>
        <w:rPr>
          <w:bCs/>
          <w:iCs/>
          <w:spacing w:val="2"/>
          <w:sz w:val="22"/>
          <w:lang w:val="sv-SE" w:bidi="en-US"/>
        </w:rPr>
        <w:instrText>ADDIN CSL_CITATION {"citationItems":[{"id":"ITEM-1","itemData":{"author":[{"dropping-particle":"","family":"Putrawan","given":"I Made","non-dropping-particle":"","parse-names":false,"suffix":""}],"id":"ITEM-1","issue":"1","issued":{"date-parts":[["2021"]]},"page":"66-77","title":"PENGARUH NEW ENVIRONMENTAL PARADIGM DAN ENVIRONMENTAL SENSITIVITY TERHADAP RESPONSIBLE ENVIRONMENTAL BEHAVIOR SISWA ( STUDI KAUSAL TERHADAP SISWA SMAN 100 JAKARTA ) bagaimana cara merubah perilaku manusia dalam berinteraksi dengan baik secara formal yaitu","type":"article-journal","volume":"6"},"uris":["http://www.mendeley.com/documents/?uuid=cb9bac0c-13f0-46dd-bd4a-aa36b59d28d3","http://www.mendeley.com/documents/?uuid=8a61a605-5427-4e2b-8693-6d85cfd189c8"]}],"mendeley":{"formattedCitation":"(Putrawan, 2021)","plainTextFormattedCitation":"(Putrawan, 2021)","previouslyFormattedCitation":"(Putrawan, 2021)"},"properties":{"noteIndex":0},"schema":"https://github.com/citation-style-language/schema/raw/master/csl-citation.json"}</w:instrText>
      </w:r>
      <w:r w:rsidRPr="00F60725">
        <w:rPr>
          <w:bCs/>
          <w:iCs/>
          <w:spacing w:val="2"/>
          <w:sz w:val="22"/>
          <w:lang w:val="en-US" w:bidi="en-US"/>
        </w:rPr>
        <w:fldChar w:fldCharType="separate"/>
      </w:r>
      <w:r w:rsidRPr="00F60725">
        <w:rPr>
          <w:bCs/>
          <w:iCs/>
          <w:noProof/>
          <w:spacing w:val="2"/>
          <w:sz w:val="22"/>
          <w:lang w:val="sv-SE" w:bidi="en-US"/>
        </w:rPr>
        <w:t>(Putrawan, 2021)</w:t>
      </w:r>
      <w:r w:rsidRPr="00F60725">
        <w:rPr>
          <w:bCs/>
          <w:iCs/>
          <w:spacing w:val="2"/>
          <w:sz w:val="22"/>
          <w:lang w:val="en-US" w:bidi="en-US"/>
        </w:rPr>
        <w:fldChar w:fldCharType="end"/>
      </w:r>
      <w:r w:rsidRPr="00F60725">
        <w:rPr>
          <w:bCs/>
          <w:iCs/>
          <w:spacing w:val="2"/>
          <w:sz w:val="22"/>
          <w:lang w:val="sv-SE" w:bidi="en-US"/>
        </w:rPr>
        <w:t>. Hal tersebut selaras dengan pendapat</w:t>
      </w:r>
      <w:r w:rsidRPr="00F60725">
        <w:rPr>
          <w:bCs/>
          <w:iCs/>
          <w:spacing w:val="2"/>
          <w:sz w:val="22"/>
          <w:lang w:val="id-ID" w:bidi="en-US"/>
        </w:rPr>
        <w:t xml:space="preserve"> </w:t>
      </w:r>
      <w:r w:rsidRPr="00F60725">
        <w:rPr>
          <w:b/>
          <w:bCs/>
          <w:iCs/>
          <w:spacing w:val="2"/>
          <w:sz w:val="22"/>
          <w:lang w:val="id-ID" w:bidi="en-US"/>
        </w:rPr>
        <w:fldChar w:fldCharType="begin" w:fldLock="1"/>
      </w:r>
      <w:r>
        <w:rPr>
          <w:bCs/>
          <w:iCs/>
          <w:spacing w:val="2"/>
          <w:sz w:val="22"/>
          <w:lang w:val="id-ID" w:bidi="en-US"/>
        </w:rPr>
        <w:instrText>ADDIN CSL_CITATION {"citationItems":[{"id":"ITEM-1","itemData":{"ISSN":"2018/2019","abstract":"This paper presents an ex-post facto research design. This study aims to obtain information about the relationship between someone's Naturalist Intelligence and New Environmental Paradigm (NEP) in natural resources. The study conducted in November 2018. Population were students in Department of Biology Education academic year 2018/2019. A sampling technique used simple random sampling. The sample consisted of 35 students. Data collection technique used written test, documentation, observation, and questionnaire. A regression test obtained equation Ŷ = 54,274 + 0,370X. It means that a simple regression analysis is significant and linear. A correlation coefficient (r y) between Naturalist Intelligence and New Environmental Paradigm (NEP) is 0.479. Null hypothesis (H 0) is rejected and alternative hypothesis (H 1) is accepted. It concluded that Naturalist Intelligence makes a moderate contribution to the New Environmental Paradigm (NEP) of Students.","author":[{"dropping-particle":"","family":"Utari","given":"Enggar","non-dropping-particle":"","parse-names":false,"suffix":""},{"dropping-particle":"","family":"Mahrawi","given":"Mahrawi","non-dropping-particle":"","parse-names":false,"suffix":""}],"id":"ITEM-1","issue":"1","issued":{"date-parts":[["2019"]]},"page":"750-758","title":"Interkorelasi Kecerdasan Naturalistik Dan the New Environmental Paradigm (Nep) Mahasiswa Program Studi","type":"article-journal","volume":"2"},"uris":["http://www.mendeley.com/documents/?uuid=997aa213-5e1b-4059-bd0a-06914a522db6","http://www.mendeley.com/documents/?uuid=cb335e5d-8025-44b0-8c18-5fbb499da534","http://www.mendeley.com/documents/?uuid=0042f934-93cd-4f28-9c9d-c8f88a687478"]}],"mendeley":{"formattedCitation":"(Utari &amp; Mahrawi, 2019)","plainTextFormattedCitation":"(Utari &amp; Mahrawi, 2019)","previouslyFormattedCitation":"(Utari &amp; Mahrawi, 2019)"},"properties":{"noteIndex":0},"schema":"https://github.com/citation-style-language/schema/raw/master/csl-citation.json"}</w:instrText>
      </w:r>
      <w:r w:rsidRPr="00F60725">
        <w:rPr>
          <w:b/>
          <w:bCs/>
          <w:iCs/>
          <w:spacing w:val="2"/>
          <w:sz w:val="22"/>
          <w:lang w:val="id-ID" w:bidi="en-US"/>
        </w:rPr>
        <w:fldChar w:fldCharType="separate"/>
      </w:r>
      <w:r w:rsidRPr="00F60725">
        <w:rPr>
          <w:bCs/>
          <w:iCs/>
          <w:noProof/>
          <w:spacing w:val="2"/>
          <w:sz w:val="22"/>
          <w:lang w:val="id-ID" w:bidi="en-US"/>
        </w:rPr>
        <w:t>(Utari &amp; Mahrawi, 2019)</w:t>
      </w:r>
      <w:r w:rsidRPr="00F60725">
        <w:rPr>
          <w:bCs/>
          <w:iCs/>
          <w:spacing w:val="2"/>
          <w:sz w:val="22"/>
          <w:lang w:val="en-US" w:bidi="en-US"/>
        </w:rPr>
        <w:fldChar w:fldCharType="end"/>
      </w:r>
      <w:r w:rsidRPr="00F60725">
        <w:rPr>
          <w:bCs/>
          <w:iCs/>
          <w:spacing w:val="2"/>
          <w:sz w:val="22"/>
          <w:lang w:val="id-ID" w:bidi="en-US"/>
        </w:rPr>
        <w:t xml:space="preserve"> kegiatan pembelajaran akan memberikan wawasan terhadap lingkungan melalui proses pengalaman pembelajaran dimana seseorang diajak untuk mencintai dan menghargai alam beserta makhluk ciptaannya.</w:t>
      </w:r>
    </w:p>
    <w:p w14:paraId="4338558E" w14:textId="77777777" w:rsidR="00F60725" w:rsidRPr="00F60725" w:rsidRDefault="00F60725" w:rsidP="00F60725">
      <w:pPr>
        <w:widowControl w:val="0"/>
        <w:autoSpaceDE w:val="0"/>
        <w:autoSpaceDN w:val="0"/>
        <w:adjustRightInd w:val="0"/>
        <w:ind w:firstLine="709"/>
        <w:rPr>
          <w:bCs/>
          <w:iCs/>
          <w:spacing w:val="2"/>
          <w:sz w:val="22"/>
          <w:lang w:val="id-ID" w:bidi="en-US"/>
        </w:rPr>
      </w:pPr>
      <w:r w:rsidRPr="00F60725">
        <w:rPr>
          <w:bCs/>
          <w:iCs/>
          <w:spacing w:val="2"/>
          <w:sz w:val="22"/>
          <w:lang w:val="id-ID" w:bidi="en-US"/>
        </w:rPr>
        <w:t xml:space="preserve"> Pembelajaran dan pendidikan yang menekankan pada perilaku pro lingkungan dan </w:t>
      </w:r>
      <w:r w:rsidRPr="00F60725">
        <w:rPr>
          <w:bCs/>
          <w:i/>
          <w:iCs/>
          <w:spacing w:val="2"/>
          <w:sz w:val="22"/>
          <w:lang w:val="id-ID" w:bidi="en-US"/>
        </w:rPr>
        <w:t xml:space="preserve">New Environmental Paradigm </w:t>
      </w:r>
      <w:r w:rsidRPr="00F60725">
        <w:rPr>
          <w:bCs/>
          <w:iCs/>
          <w:spacing w:val="2"/>
          <w:sz w:val="22"/>
          <w:lang w:val="id-ID" w:bidi="en-US"/>
        </w:rPr>
        <w:t xml:space="preserve">(NEP) diharapkan memberikan kesadaran dan pembaharuan pada masyarakat  bahwa lingkungan dan manusia tidak dapat di pisahkan karena manusia sangat membutuhkan lingkungan sebagai keberlangsungan hidup manusia. Sehingga perlu adanya pembelajaran yang terintegrasi dalam materi PLH terkait </w:t>
      </w:r>
      <w:r w:rsidRPr="00F60725">
        <w:rPr>
          <w:bCs/>
          <w:i/>
          <w:iCs/>
          <w:spacing w:val="2"/>
          <w:sz w:val="22"/>
          <w:lang w:val="id-ID" w:bidi="en-US"/>
        </w:rPr>
        <w:t xml:space="preserve">New Environmental Paradigm </w:t>
      </w:r>
      <w:r w:rsidRPr="00F60725">
        <w:rPr>
          <w:bCs/>
          <w:iCs/>
          <w:spacing w:val="2"/>
          <w:sz w:val="22"/>
          <w:lang w:val="id-ID" w:bidi="en-US"/>
        </w:rPr>
        <w:t xml:space="preserve">(NEP) dan perilaku pro lingkungan guna memberikan pengalaman dalam pembelajaran untuk menyikapi permasalahan lingkungan yang terjadi di sekitar tempat tinggal pembelajaran tersebut </w:t>
      </w:r>
      <w:r w:rsidRPr="00F60725">
        <w:rPr>
          <w:b/>
          <w:bCs/>
          <w:iCs/>
          <w:spacing w:val="2"/>
          <w:sz w:val="22"/>
          <w:lang w:val="id-ID" w:bidi="en-US"/>
        </w:rPr>
        <w:fldChar w:fldCharType="begin" w:fldLock="1"/>
      </w:r>
      <w:r>
        <w:rPr>
          <w:bCs/>
          <w:iCs/>
          <w:spacing w:val="2"/>
          <w:sz w:val="22"/>
          <w:lang w:val="id-ID" w:bidi="en-US"/>
        </w:rPr>
        <w:instrText>ADDIN CSL_CITATION {"citationItems":[{"id":"ITEM-1","itemData":{"author":[{"dropping-particle":"","family":"Ahmad","given":"Deni Nasir","non-dropping-particle":"","parse-names":false,"suffix":""},{"dropping-particle":"","family":"Basuki","given":"Kasih Haryo","non-dropping-particle":"","parse-names":false,"suffix":""}],"id":"ITEM-1","issue":"01","issued":{"date-parts":[["2022"]]},"page":"22-24","title":"Menanamkan New Enviromental Paradigma ( Nep ) Dalam Perilaku Ramah Lingkungan Berbasis Masalah","type":"article-journal","volume":"13"},"uris":["http://www.mendeley.com/documents/?uuid=f0820dce-746f-4fd8-aa4b-abb822576482","http://www.mendeley.com/documents/?uuid=6debba90-63c0-4651-9e20-8ddefc9300eb"]}],"mendeley":{"formattedCitation":"(Ahmad &amp; Basuki, 2022)","plainTextFormattedCitation":"(Ahmad &amp; Basuki, 2022)","previouslyFormattedCitation":"(Ahmad &amp; Basuki, 2022)"},"properties":{"noteIndex":0},"schema":"https://github.com/citation-style-language/schema/raw/master/csl-citation.json"}</w:instrText>
      </w:r>
      <w:r w:rsidRPr="00F60725">
        <w:rPr>
          <w:b/>
          <w:bCs/>
          <w:iCs/>
          <w:spacing w:val="2"/>
          <w:sz w:val="22"/>
          <w:lang w:val="id-ID" w:bidi="en-US"/>
        </w:rPr>
        <w:fldChar w:fldCharType="separate"/>
      </w:r>
      <w:r w:rsidRPr="00F60725">
        <w:rPr>
          <w:bCs/>
          <w:iCs/>
          <w:noProof/>
          <w:spacing w:val="2"/>
          <w:sz w:val="22"/>
          <w:lang w:val="id-ID" w:bidi="en-US"/>
        </w:rPr>
        <w:t>(Ahmad &amp; Basuki, 2022)</w:t>
      </w:r>
      <w:r w:rsidRPr="00F60725">
        <w:rPr>
          <w:bCs/>
          <w:iCs/>
          <w:spacing w:val="2"/>
          <w:sz w:val="22"/>
          <w:lang w:val="en-US" w:bidi="en-US"/>
        </w:rPr>
        <w:fldChar w:fldCharType="end"/>
      </w:r>
      <w:r w:rsidRPr="00F60725">
        <w:rPr>
          <w:bCs/>
          <w:iCs/>
          <w:spacing w:val="2"/>
          <w:sz w:val="22"/>
          <w:lang w:val="id-ID" w:bidi="en-US"/>
        </w:rPr>
        <w:t xml:space="preserve">. </w:t>
      </w:r>
    </w:p>
    <w:p w14:paraId="6336FD1A" w14:textId="77777777" w:rsidR="00E77B2F" w:rsidRPr="00475F4A" w:rsidRDefault="00F60725" w:rsidP="00F60725">
      <w:pPr>
        <w:widowControl w:val="0"/>
        <w:autoSpaceDE w:val="0"/>
        <w:autoSpaceDN w:val="0"/>
        <w:adjustRightInd w:val="0"/>
        <w:ind w:firstLine="709"/>
        <w:rPr>
          <w:bCs/>
          <w:iCs/>
          <w:spacing w:val="2"/>
          <w:sz w:val="22"/>
          <w:lang w:val="id-ID" w:bidi="en-US"/>
        </w:rPr>
      </w:pPr>
      <w:r w:rsidRPr="00F60725">
        <w:rPr>
          <w:bCs/>
          <w:iCs/>
          <w:spacing w:val="2"/>
          <w:sz w:val="22"/>
          <w:lang w:val="id-ID" w:bidi="en-US"/>
        </w:rPr>
        <w:t xml:space="preserve">Karena hal inilah, calon guru harus memiliki pandangn positif dan perilaku yang pro lingkungan guna terwujudnya tujuan ke 13 </w:t>
      </w:r>
      <w:r w:rsidRPr="00F60725">
        <w:rPr>
          <w:bCs/>
          <w:i/>
          <w:iCs/>
          <w:spacing w:val="2"/>
          <w:sz w:val="22"/>
          <w:lang w:val="id-ID" w:bidi="en-US"/>
        </w:rPr>
        <w:t xml:space="preserve">Sustainable Development Goals </w:t>
      </w:r>
      <w:r w:rsidRPr="00F60725">
        <w:rPr>
          <w:bCs/>
          <w:iCs/>
          <w:spacing w:val="2"/>
          <w:sz w:val="22"/>
          <w:lang w:val="id-ID" w:bidi="en-US"/>
        </w:rPr>
        <w:t xml:space="preserve">(SDGs). Untuk mengukur cara pandang calon guru biologi yaitu menggunakan skala NEP yang dikembangakan oleh Dunlap dan Van Lier sedangkan perilaku pro lingkungan yang mencakup aktivitas manusia diukur menggunakan skala yang dikemukakan oleh </w:t>
      </w:r>
      <w:r w:rsidRPr="00F60725">
        <w:rPr>
          <w:bCs/>
          <w:iCs/>
          <w:spacing w:val="2"/>
          <w:sz w:val="22"/>
          <w:lang w:val="id-ID" w:bidi="en-US"/>
        </w:rPr>
        <w:fldChar w:fldCharType="begin" w:fldLock="1"/>
      </w:r>
      <w:r>
        <w:rPr>
          <w:bCs/>
          <w:iCs/>
          <w:spacing w:val="2"/>
          <w:sz w:val="22"/>
          <w:lang w:val="id-ID" w:bidi="en-US"/>
        </w:rPr>
        <w:instrText>ADDIN CSL_CITATION {"citationItems":[{"id":"ITEM-1","itemData":{"DOI":"10.3390/su12187728","ISSN":"20711050","abstract":"Acquiring a better understanding of what drives pro-environmental and sustainable behaviour is important for both researchers and practitioners alike. The purpose of this paper is to explore the moderating role of locus of control and self-construal on the relationship between proenvironmental beliefs and pro-environmental consumer behaviour. We explicitly model the endorsement of the New Ecological Paradigm (NEP) as a predictor of three specific types of environmental behaviour-travel, purchasing and day to day activities. The results show a positive and significant association between the endorsement of NEP and a person's pro-environmental traveling behaviour, purchasing behaviour and day to day activities. Moreover, we find that the effects are moderated by a person's locus of control, specifically, it remains positive and significant only for people with an internal locus of control. However, we found no moderating effect of a person's self-construal on the association between NEP and pro-environmental behaviour. The findings are important in the continuing work to understand what is limiting consumers to behave according to their beliefs. Practical and theoretical implications of the results as well as suggestions for future research are presented.","author":[{"dropping-particle":"","family":"Derdowski","given":"Lukasz Andrzej","non-dropping-particle":"","parse-names":false,"suffix":""},{"dropping-particle":"","family":"Grahn","given":"Åsa Helen","non-dropping-particle":"","parse-names":false,"suffix":""},{"dropping-particle":"","family":"Hansen","given":"Håvard","non-dropping-particle":"","parse-names":false,"suffix":""},{"dropping-particle":"","family":"Skeiseid","given":"Heidi","non-dropping-particle":"","parse-names":false,"suffix":""}],"container-title":"Sustainability (Switzerland)","id":"ITEM-1","issue":"18","issued":{"date-parts":[["2020"]]},"page":"7-9","title":"The new ecological paradigm, pro-environmental behaviour, and the moderating effects of locus of control and self-construal","type":"article-journal","volume":"12"},"uris":["http://www.mendeley.com/documents/?uuid=b3342b63-044e-4634-82d3-b8ee42f7803f","http://www.mendeley.com/documents/?uuid=db9b2896-6c21-4c28-b2df-1f56e5141f11","http://www.mendeley.com/documents/?uuid=add3105f-c0c8-410a-846e-b4b1065d66f0"]}],"mendeley":{"formattedCitation":"(Derdowski et al., 2020)","plainTextFormattedCitation":"(Derdowski et al., 2020)","previouslyFormattedCitation":"(Derdowski et al., 2020)"},"properties":{"noteIndex":0},"schema":"https://github.com/citation-style-language/schema/raw/master/csl-citation.json"}</w:instrText>
      </w:r>
      <w:r w:rsidRPr="00F60725">
        <w:rPr>
          <w:bCs/>
          <w:iCs/>
          <w:spacing w:val="2"/>
          <w:sz w:val="22"/>
          <w:lang w:val="id-ID" w:bidi="en-US"/>
        </w:rPr>
        <w:fldChar w:fldCharType="separate"/>
      </w:r>
      <w:r w:rsidRPr="00F60725">
        <w:rPr>
          <w:bCs/>
          <w:iCs/>
          <w:noProof/>
          <w:spacing w:val="2"/>
          <w:sz w:val="22"/>
          <w:lang w:val="id-ID" w:bidi="en-US"/>
        </w:rPr>
        <w:t>(Derdowski et al., 2020)</w:t>
      </w:r>
      <w:r w:rsidRPr="00F60725">
        <w:rPr>
          <w:bCs/>
          <w:iCs/>
          <w:spacing w:val="2"/>
          <w:sz w:val="22"/>
          <w:lang w:val="en-US" w:bidi="en-US"/>
        </w:rPr>
        <w:fldChar w:fldCharType="end"/>
      </w:r>
      <w:r w:rsidRPr="00F60725">
        <w:rPr>
          <w:bCs/>
          <w:iCs/>
          <w:spacing w:val="2"/>
          <w:sz w:val="22"/>
          <w:lang w:val="id-ID" w:bidi="en-US"/>
        </w:rPr>
        <w:t>.</w:t>
      </w:r>
    </w:p>
    <w:bookmarkEnd w:id="0"/>
    <w:bookmarkEnd w:id="1"/>
    <w:p w14:paraId="4F98CA73" w14:textId="77777777" w:rsidR="0085755D" w:rsidRPr="00BF55AA" w:rsidRDefault="0085755D" w:rsidP="00BF55AA">
      <w:pPr>
        <w:widowControl w:val="0"/>
        <w:autoSpaceDE w:val="0"/>
        <w:autoSpaceDN w:val="0"/>
        <w:adjustRightInd w:val="0"/>
        <w:spacing w:before="120" w:after="120"/>
        <w:contextualSpacing w:val="0"/>
        <w:rPr>
          <w:sz w:val="22"/>
          <w:lang w:val="id-ID"/>
        </w:rPr>
      </w:pPr>
      <w:r w:rsidRPr="00BF55AA">
        <w:rPr>
          <w:b/>
          <w:bCs/>
          <w:spacing w:val="-2"/>
          <w:sz w:val="22"/>
          <w:lang w:val="id-ID"/>
        </w:rPr>
        <w:t>M</w:t>
      </w:r>
      <w:r w:rsidRPr="00BF55AA">
        <w:rPr>
          <w:b/>
          <w:bCs/>
          <w:spacing w:val="2"/>
          <w:sz w:val="22"/>
          <w:lang w:val="id-ID"/>
        </w:rPr>
        <w:t>et</w:t>
      </w:r>
      <w:r w:rsidRPr="00BF55AA">
        <w:rPr>
          <w:b/>
          <w:bCs/>
          <w:spacing w:val="1"/>
          <w:sz w:val="22"/>
          <w:lang w:val="id-ID"/>
        </w:rPr>
        <w:t>o</w:t>
      </w:r>
      <w:r w:rsidRPr="00BF55AA">
        <w:rPr>
          <w:b/>
          <w:bCs/>
          <w:spacing w:val="-1"/>
          <w:sz w:val="22"/>
          <w:lang w:val="id-ID"/>
        </w:rPr>
        <w:t>d</w:t>
      </w:r>
      <w:r w:rsidRPr="00BF55AA">
        <w:rPr>
          <w:b/>
          <w:bCs/>
          <w:sz w:val="22"/>
          <w:lang w:val="id-ID"/>
        </w:rPr>
        <w:t>e</w:t>
      </w:r>
    </w:p>
    <w:p w14:paraId="339B8F38" w14:textId="77777777" w:rsidR="00F60725" w:rsidRPr="00F60725" w:rsidRDefault="00F60725" w:rsidP="00573CFE">
      <w:pPr>
        <w:pStyle w:val="ListParagraph"/>
        <w:ind w:left="0" w:firstLine="709"/>
        <w:rPr>
          <w:bCs/>
          <w:sz w:val="22"/>
          <w:lang w:val="id-ID" w:eastAsia="zh-CN" w:bidi="en-US"/>
        </w:rPr>
      </w:pPr>
      <w:r w:rsidRPr="00F60725">
        <w:rPr>
          <w:bCs/>
          <w:sz w:val="22"/>
          <w:lang w:val="sv-SE" w:eastAsia="zh-CN" w:bidi="en-US"/>
        </w:rPr>
        <w:t xml:space="preserve">Metode penelitian yang digunakan yaitu Metode kuantitatif korelasi yang bertujuan untuk mengetahui hubungan antara variabel NEP dan perilaku pro lingkungan. Instumen yang di gunakan dalam variabel NEP menggunakan skala yang di kembangkan oleh </w:t>
      </w:r>
      <w:r w:rsidRPr="00F60725">
        <w:rPr>
          <w:bCs/>
          <w:iCs/>
          <w:sz w:val="22"/>
          <w:lang w:val="id-ID" w:eastAsia="zh-CN" w:bidi="en-US"/>
        </w:rPr>
        <w:fldChar w:fldCharType="begin" w:fldLock="1"/>
      </w:r>
      <w:r>
        <w:rPr>
          <w:bCs/>
          <w:iCs/>
          <w:sz w:val="22"/>
          <w:lang w:val="id-ID" w:eastAsia="zh-CN" w:bidi="en-US"/>
        </w:rPr>
        <w:instrText>ADDIN CSL_CITATION {"citationItems":[{"id":"ITEM-1","itemData":{"DOI":"10.1111/0022-4537.00176","ISSN":"00224537","abstract":"Dunlap and Van Liere's New Environmental Paradigm (NEP) Scale, published in 1978, has become a widely used measure of proenvironmental orientation. This article develops a revised NEP Scale designed to improve upon the original one in several respects: ( 1 ) It taps a wider range of facets of an ecological worldview, ( 2 ) It offers a balanced set of pro- and anti-NEP items, and ( 3 ) It avoids outmoded terminology. The new scale, termed the New Ecological Paradigm Scale, consists of 15 items. Results of a 1990 Washington State survey suggest that the items can be treated as an internally consistent summated rating scale and also indicate a modest growth in pro-NEP responses among Washington residents over the 14 years since the original study.","author":[{"dropping-particle":"","family":"Dunlap","given":"Riley E.","non-dropping-particle":"","parse-names":false,"suffix":""},{"dropping-particle":"","family":"Liere","given":"Kent D.","non-dropping-particle":"Van","parse-names":false,"suffix":""},{"dropping-particle":"","family":"Mertig","given":"Angela G.","non-dropping-particle":"","parse-names":false,"suffix":""},{"dropping-particle":"","family":"Jones","given":"Robert Emmet","non-dropping-particle":"","parse-names":false,"suffix":""}],"container-title":"Journal of Social Issues","id":"ITEM-1","issue":"3","issued":{"date-parts":[["2000"]]},"page":"425-442","title":"Measuring endorsement of the new ecological paradigm: A revised NEP scale","type":"article-journal","volume":"56"},"uris":["http://www.mendeley.com/documents/?uuid=4655fa70-f187-48b2-8d38-e8269a75eb39","http://www.mendeley.com/documents/?uuid=b852b0e3-e2f4-486c-ae73-f97079bd16a9","http://www.mendeley.com/documents/?uuid=eaf8a95c-f48e-4292-bb86-4fea5684c94b"]}],"mendeley":{"formattedCitation":"(Dunlap et al., 2000)","plainTextFormattedCitation":"(Dunlap et al., 2000)","previouslyFormattedCitation":"(Dunlap et al., 2000)"},"properties":{"noteIndex":0},"schema":"https://github.com/citation-style-language/schema/raw/master/csl-citation.json"}</w:instrText>
      </w:r>
      <w:r w:rsidRPr="00F60725">
        <w:rPr>
          <w:bCs/>
          <w:iCs/>
          <w:sz w:val="22"/>
          <w:lang w:val="id-ID" w:eastAsia="zh-CN" w:bidi="en-US"/>
        </w:rPr>
        <w:fldChar w:fldCharType="separate"/>
      </w:r>
      <w:r w:rsidRPr="00F60725">
        <w:rPr>
          <w:bCs/>
          <w:iCs/>
          <w:noProof/>
          <w:sz w:val="22"/>
          <w:lang w:val="id-ID" w:eastAsia="zh-CN" w:bidi="en-US"/>
        </w:rPr>
        <w:t>(Dunlap et al., 2000)</w:t>
      </w:r>
      <w:r w:rsidRPr="00F60725">
        <w:rPr>
          <w:bCs/>
          <w:sz w:val="22"/>
          <w:lang w:val="en-US" w:eastAsia="zh-CN" w:bidi="en-US"/>
        </w:rPr>
        <w:fldChar w:fldCharType="end"/>
      </w:r>
      <w:r w:rsidRPr="00F60725">
        <w:rPr>
          <w:bCs/>
          <w:sz w:val="22"/>
          <w:lang w:val="sv-SE" w:eastAsia="zh-CN" w:bidi="en-US"/>
        </w:rPr>
        <w:t xml:space="preserve">, yang terdiri dari lima indikator : </w:t>
      </w:r>
      <w:r w:rsidRPr="00F60725">
        <w:rPr>
          <w:bCs/>
          <w:i/>
          <w:iCs/>
          <w:sz w:val="22"/>
          <w:lang w:val="sv-SE" w:eastAsia="zh-CN" w:bidi="en-US"/>
        </w:rPr>
        <w:t xml:space="preserve">anti exsemtionalism, anti anthopocentris, limits to growth, blanca of nature </w:t>
      </w:r>
      <w:r w:rsidRPr="00F60725">
        <w:rPr>
          <w:bCs/>
          <w:sz w:val="22"/>
          <w:lang w:val="sv-SE" w:eastAsia="zh-CN" w:bidi="en-US"/>
        </w:rPr>
        <w:t xml:space="preserve">dan </w:t>
      </w:r>
      <w:r w:rsidRPr="00F60725">
        <w:rPr>
          <w:bCs/>
          <w:i/>
          <w:iCs/>
          <w:sz w:val="22"/>
          <w:lang w:val="sv-SE" w:eastAsia="zh-CN" w:bidi="en-US"/>
        </w:rPr>
        <w:t>eco centris</w:t>
      </w:r>
      <w:r w:rsidRPr="00F60725">
        <w:rPr>
          <w:bCs/>
          <w:sz w:val="22"/>
          <w:lang w:val="sv-SE" w:eastAsia="zh-CN" w:bidi="en-US"/>
        </w:rPr>
        <w:t xml:space="preserve">. Analisis validitas dilakukan dengan skala likert 1-4 dengan kategori, sangat setuju = 4 setuju = 3 3, tidak setuju = 2, sangat tidak setuju = 1. Sedangkan dalam variabel  pro lingkungan memiliki tiga indikator : perilaku berpergian, perilaku pembelian dan perilaku sehari-hari </w:t>
      </w:r>
      <w:r w:rsidRPr="00F60725">
        <w:rPr>
          <w:bCs/>
          <w:sz w:val="22"/>
          <w:lang w:val="id-ID" w:eastAsia="zh-CN" w:bidi="en-US"/>
        </w:rPr>
        <w:fldChar w:fldCharType="begin" w:fldLock="1"/>
      </w:r>
      <w:r>
        <w:rPr>
          <w:bCs/>
          <w:sz w:val="22"/>
          <w:lang w:val="id-ID" w:eastAsia="zh-CN" w:bidi="en-US"/>
        </w:rPr>
        <w:instrText>ADDIN CSL_CITATION {"citationItems":[{"id":"ITEM-1","itemData":{"DOI":"10.3390/su12187728","ISSN":"20711050","abstract":"Acquiring a better understanding of what drives pro-environmental and sustainable behaviour is important for both researchers and practitioners alike. The purpose of this paper is to explore the moderating role of locus of control and self-construal on the relationship between proenvironmental beliefs and pro-environmental consumer behaviour. We explicitly model the endorsement of the New Ecological Paradigm (NEP) as a predictor of three specific types of environmental behaviour-travel, purchasing and day to day activities. The results show a positive and significant association between the endorsement of NEP and a person's pro-environmental traveling behaviour, purchasing behaviour and day to day activities. Moreover, we find that the effects are moderated by a person's locus of control, specifically, it remains positive and significant only for people with an internal locus of control. However, we found no moderating effect of a person's self-construal on the association between NEP and pro-environmental behaviour. The findings are important in the continuing work to understand what is limiting consumers to behave according to their beliefs. Practical and theoretical implications of the results as well as suggestions for future research are presented.","author":[{"dropping-particle":"","family":"Derdowski","given":"Lukasz Andrzej","non-dropping-particle":"","parse-names":false,"suffix":""},{"dropping-particle":"","family":"Grahn","given":"Åsa Helen","non-dropping-particle":"","parse-names":false,"suffix":""},{"dropping-particle":"","family":"Hansen","given":"Håvard","non-dropping-particle":"","parse-names":false,"suffix":""},{"dropping-particle":"","family":"Skeiseid","given":"Heidi","non-dropping-particle":"","parse-names":false,"suffix":""}],"container-title":"Sustainability (Switzerland)","id":"ITEM-1","issue":"18","issued":{"date-parts":[["2020"]]},"page":"7-9","title":"The new ecological paradigm, pro-environmental behaviour, and the moderating effects of locus of control and self-construal","type":"article-journal","volume":"12"},"uris":["http://www.mendeley.com/documents/?uuid=b3342b63-044e-4634-82d3-b8ee42f7803f","http://www.mendeley.com/documents/?uuid=db9b2896-6c21-4c28-b2df-1f56e5141f11","http://www.mendeley.com/documents/?uuid=add3105f-c0c8-410a-846e-b4b1065d66f0"]}],"mendeley":{"formattedCitation":"(Derdowski et al., 2020)","plainTextFormattedCitation":"(Derdowski et al., 2020)","previouslyFormattedCitation":"(Derdowski et al., 2020)"},"properties":{"noteIndex":0},"schema":"https://github.com/citation-style-language/schema/raw/master/csl-citation.json"}</w:instrText>
      </w:r>
      <w:r w:rsidRPr="00F60725">
        <w:rPr>
          <w:bCs/>
          <w:sz w:val="22"/>
          <w:lang w:val="id-ID" w:eastAsia="zh-CN" w:bidi="en-US"/>
        </w:rPr>
        <w:fldChar w:fldCharType="separate"/>
      </w:r>
      <w:r w:rsidRPr="00F60725">
        <w:rPr>
          <w:bCs/>
          <w:noProof/>
          <w:sz w:val="22"/>
          <w:lang w:val="id-ID" w:eastAsia="zh-CN" w:bidi="en-US"/>
        </w:rPr>
        <w:t>(Derdowski et al., 2020)</w:t>
      </w:r>
      <w:r w:rsidRPr="00F60725">
        <w:rPr>
          <w:bCs/>
          <w:sz w:val="22"/>
          <w:lang w:val="en-US" w:eastAsia="zh-CN" w:bidi="en-US"/>
        </w:rPr>
        <w:fldChar w:fldCharType="end"/>
      </w:r>
      <w:r w:rsidRPr="00F60725">
        <w:rPr>
          <w:bCs/>
          <w:sz w:val="22"/>
          <w:lang w:val="sv-SE" w:eastAsia="zh-CN" w:bidi="en-US"/>
        </w:rPr>
        <w:t xml:space="preserve"> analisis validitas menggunakan 1-4 skala likert dengan kategori selalu = 4, sering = 3, jarang = 2, tidak pernah = 1</w:t>
      </w:r>
      <w:r w:rsidR="003D630C">
        <w:rPr>
          <w:bCs/>
          <w:sz w:val="22"/>
          <w:lang w:val="sv-SE" w:eastAsia="zh-CN" w:bidi="en-US"/>
        </w:rPr>
        <w:t xml:space="preserve"> </w:t>
      </w:r>
      <w:r w:rsidR="003D630C">
        <w:rPr>
          <w:bCs/>
          <w:sz w:val="22"/>
          <w:lang w:val="sv-SE" w:eastAsia="zh-CN" w:bidi="en-US"/>
        </w:rPr>
        <w:fldChar w:fldCharType="begin" w:fldLock="1"/>
      </w:r>
      <w:r w:rsidR="003D630C">
        <w:rPr>
          <w:bCs/>
          <w:sz w:val="22"/>
          <w:lang w:val="sv-SE" w:eastAsia="zh-CN" w:bidi="en-US"/>
        </w:rPr>
        <w:instrText>ADDIN CSL_CITATION {"citationItems":[{"id":"ITEM-1","itemData":{"author":[{"dropping-particle":"","family":"Pradana","given":"Onny Chrisna Pandu","non-dropping-particle":"","parse-names":false,"suffix":""},{"dropping-particle":"","family":"Sesanti","given":"Rizka Novi","non-dropping-particle":"","parse-names":false,"suffix":""}],"container-title":"Jurnal Wacana Pertanian","id":"ITEM-1","issue":"1","issued":{"date-parts":[["2018"]]},"page":"24-31","title":"Analisis Dampak Perubahan Iklim Terhadap Curah Hujan Berdasarkan Perubahan Zona Agroklimatologi Pada Skala Lokal Politeknik Negeri Lampung","type":"article-journal","volume":"14"},"uris":["http://www.mendeley.com/documents/?uuid=5219a9a5-1d14-48c6-b1ab-0691fafac121"]}],"mendeley":{"formattedCitation":"(Pradana &amp; Sesanti, 2018)","plainTextFormattedCitation":"(Pradana &amp; Sesanti, 2018)","previouslyFormattedCitation":"(Pradana &amp; Sesanti, 2018)"},"properties":{"noteIndex":0},"schema":"https://github.com/citation-style-language/schema/raw/master/csl-citation.json"}</w:instrText>
      </w:r>
      <w:r w:rsidR="003D630C">
        <w:rPr>
          <w:bCs/>
          <w:sz w:val="22"/>
          <w:lang w:val="sv-SE" w:eastAsia="zh-CN" w:bidi="en-US"/>
        </w:rPr>
        <w:fldChar w:fldCharType="separate"/>
      </w:r>
      <w:r w:rsidR="003D630C" w:rsidRPr="003D630C">
        <w:rPr>
          <w:bCs/>
          <w:noProof/>
          <w:sz w:val="22"/>
          <w:lang w:val="sv-SE" w:eastAsia="zh-CN" w:bidi="en-US"/>
        </w:rPr>
        <w:t>(Pradana &amp; Sesanti, 2018)</w:t>
      </w:r>
      <w:r w:rsidR="003D630C">
        <w:rPr>
          <w:bCs/>
          <w:sz w:val="22"/>
          <w:lang w:val="sv-SE" w:eastAsia="zh-CN" w:bidi="en-US"/>
        </w:rPr>
        <w:fldChar w:fldCharType="end"/>
      </w:r>
      <w:r w:rsidRPr="00F60725">
        <w:rPr>
          <w:bCs/>
          <w:sz w:val="22"/>
          <w:lang w:val="sv-SE" w:eastAsia="zh-CN" w:bidi="en-US"/>
        </w:rPr>
        <w:t>. Dengan Teknik pengumpulan data mengunakan Teknik purposive sampling dan dihitung menggunakan rumus solvin sehingga mendapatkan responden sebesar 89. Teknik analisis data menggunakan Teknik inferesial. Pengujian pra syarat analisis meliputi, uji normalitas menggunakan Kolmogorov smirnov, uji regresi linearitas sederhana, dan uji hipotesis dengan bantuan spss versi 25</w:t>
      </w:r>
      <w:r w:rsidR="00573CFE">
        <w:rPr>
          <w:bCs/>
          <w:sz w:val="22"/>
          <w:lang w:val="sv-SE" w:eastAsia="zh-CN" w:bidi="en-US"/>
        </w:rPr>
        <w:t xml:space="preserve"> </w:t>
      </w:r>
      <w:r w:rsidR="00573CFE">
        <w:rPr>
          <w:bCs/>
          <w:sz w:val="22"/>
          <w:lang w:val="sv-SE" w:eastAsia="zh-CN" w:bidi="en-US"/>
        </w:rPr>
        <w:fldChar w:fldCharType="begin" w:fldLock="1"/>
      </w:r>
      <w:r w:rsidR="00573CFE">
        <w:rPr>
          <w:bCs/>
          <w:sz w:val="22"/>
          <w:lang w:val="sv-SE" w:eastAsia="zh-CN" w:bidi="en-US"/>
        </w:rPr>
        <w:instrText>ADDIN CSL_CITATION {"citationItems":[{"id":"ITEM-1","itemData":{"DOI":"10.1155/2015/687975","ISSN":"2090-6684","abstract":"Carbon monoxide poisoning during pregnancy is a rare and potentially serious condition. Fetal complications are uncommon, related to anoxic lesions. The severity of these complications does not depend on the level of maternal COHb. We report the case of a 22-year-old pregnant woman who at 30 weeks of gestation had carbon monoxide poisoning secondary to a fire in her home, complicated by cardiac arrest and severe fetal damage. The child had not brain damage, but presented bladder lesions not previously described, with urinary ascites complicating megacystis.","author":[{"dropping-particle":"","family":"Delomenie","given":"Myriam","non-dropping-particle":"","parse-names":false,"suffix":""},{"dropping-particle":"","family":"Schneider","given":"Floriane","non-dropping-particle":"","parse-names":false,"suffix":""},{"dropping-particle":"","family":"Beaudet","given":"Joëlle","non-dropping-particle":"","parse-names":false,"suffix":""},{"dropping-particle":"","family":"Gabriel","given":"René","non-dropping-particle":"","parse-names":false,"suffix":""},{"dropping-particle":"","family":"Bednarek","given":"Nathalie","non-dropping-particle":"","parse-names":false,"suffix":""},{"dropping-particle":"","family":"Graesslin","given":"Olivier","non-dropping-particle":"","parse-names":false,"suffix":""}],"container-title":"Case Reports in Obstetrics and Gynecology","id":"ITEM-1","issued":{"date-parts":[["2015"]]},"page":"1-3","publisher":"Hindawi","title":"Carbon Monoxide Poisoning during Pregnancy: Presentation of a Rare Severe Case with Fetal Bladder Complications","type":"article-journal","volume":"2015"},"uris":["http://www.mendeley.com/documents/?uuid=2f694924-3327-4018-8894-fb60171a569d"]}],"mendeley":{"formattedCitation":"(Delomenie et al., 2015)","plainTextFormattedCitation":"(Delomenie et al., 2015)","previouslyFormattedCitation":"(Delomenie et al., 2015)"},"properties":{"noteIndex":0},"schema":"https://github.com/citation-style-language/schema/raw/master/csl-citation.json"}</w:instrText>
      </w:r>
      <w:r w:rsidR="00573CFE">
        <w:rPr>
          <w:bCs/>
          <w:sz w:val="22"/>
          <w:lang w:val="sv-SE" w:eastAsia="zh-CN" w:bidi="en-US"/>
        </w:rPr>
        <w:fldChar w:fldCharType="separate"/>
      </w:r>
      <w:r w:rsidR="00573CFE" w:rsidRPr="00573CFE">
        <w:rPr>
          <w:bCs/>
          <w:noProof/>
          <w:sz w:val="22"/>
          <w:lang w:val="sv-SE" w:eastAsia="zh-CN" w:bidi="en-US"/>
        </w:rPr>
        <w:t>(Delomenie et al., 2015)</w:t>
      </w:r>
      <w:r w:rsidR="00573CFE">
        <w:rPr>
          <w:bCs/>
          <w:sz w:val="22"/>
          <w:lang w:val="sv-SE" w:eastAsia="zh-CN" w:bidi="en-US"/>
        </w:rPr>
        <w:fldChar w:fldCharType="end"/>
      </w:r>
      <w:r w:rsidRPr="00F60725">
        <w:rPr>
          <w:bCs/>
          <w:sz w:val="22"/>
          <w:lang w:val="sv-SE" w:eastAsia="zh-CN" w:bidi="en-US"/>
        </w:rPr>
        <w:t>.</w:t>
      </w:r>
    </w:p>
    <w:p w14:paraId="71D23154" w14:textId="77777777" w:rsidR="006B0789" w:rsidRPr="00475F4A" w:rsidRDefault="00753E14" w:rsidP="006B0789">
      <w:pPr>
        <w:spacing w:before="120" w:after="120"/>
        <w:contextualSpacing w:val="0"/>
        <w:rPr>
          <w:b/>
          <w:bCs/>
          <w:sz w:val="22"/>
          <w:lang w:val="it-IT" w:eastAsia="zh-CN"/>
        </w:rPr>
      </w:pPr>
      <w:r w:rsidRPr="00475F4A">
        <w:rPr>
          <w:b/>
          <w:bCs/>
          <w:sz w:val="22"/>
          <w:lang w:val="it-IT" w:eastAsia="zh-CN"/>
        </w:rPr>
        <w:t>Hasil dan Pembahasan</w:t>
      </w:r>
    </w:p>
    <w:p w14:paraId="27BB697D" w14:textId="77777777" w:rsidR="00F60725" w:rsidRPr="00F60725" w:rsidRDefault="00F60725" w:rsidP="00573CFE">
      <w:pPr>
        <w:pStyle w:val="ListParagraph"/>
        <w:ind w:left="0" w:firstLine="720"/>
        <w:rPr>
          <w:bCs/>
          <w:sz w:val="22"/>
          <w:lang w:val="sv-SE" w:eastAsia="zh-CN" w:bidi="en-US"/>
        </w:rPr>
      </w:pPr>
      <w:r w:rsidRPr="00F60725">
        <w:rPr>
          <w:bCs/>
          <w:sz w:val="22"/>
          <w:lang w:val="sv-SE" w:eastAsia="zh-CN" w:bidi="en-US"/>
        </w:rPr>
        <w:t>Penelitian ini menggunakan Metode kuantitatif korelasi. Tahap-tahap yang telah dilakukan sebagai berikut:</w:t>
      </w:r>
    </w:p>
    <w:p w14:paraId="5BCAB18E" w14:textId="77777777" w:rsidR="00F60725" w:rsidRPr="00F60725" w:rsidRDefault="00F60725" w:rsidP="00573CFE">
      <w:pPr>
        <w:pStyle w:val="ListParagraph"/>
        <w:numPr>
          <w:ilvl w:val="0"/>
          <w:numId w:val="9"/>
        </w:numPr>
        <w:ind w:left="284"/>
        <w:rPr>
          <w:bCs/>
          <w:sz w:val="22"/>
          <w:lang w:val="en-US" w:eastAsia="zh-CN" w:bidi="en-US"/>
        </w:rPr>
      </w:pPr>
      <w:proofErr w:type="spellStart"/>
      <w:r w:rsidRPr="00F60725">
        <w:rPr>
          <w:bCs/>
          <w:sz w:val="22"/>
          <w:lang w:val="en-US" w:eastAsia="zh-CN" w:bidi="en-US"/>
        </w:rPr>
        <w:t>Tahap</w:t>
      </w:r>
      <w:proofErr w:type="spellEnd"/>
      <w:r w:rsidRPr="00F60725">
        <w:rPr>
          <w:bCs/>
          <w:sz w:val="22"/>
          <w:lang w:val="en-US" w:eastAsia="zh-CN" w:bidi="en-US"/>
        </w:rPr>
        <w:t xml:space="preserve"> </w:t>
      </w:r>
      <w:proofErr w:type="spellStart"/>
      <w:r w:rsidRPr="00F60725">
        <w:rPr>
          <w:bCs/>
          <w:sz w:val="22"/>
          <w:lang w:val="en-US" w:eastAsia="zh-CN" w:bidi="en-US"/>
        </w:rPr>
        <w:t>Analisis</w:t>
      </w:r>
      <w:proofErr w:type="spellEnd"/>
    </w:p>
    <w:p w14:paraId="0A0A89ED" w14:textId="77777777" w:rsidR="00F60725" w:rsidRPr="00F60725" w:rsidRDefault="00F60725" w:rsidP="00573CFE">
      <w:pPr>
        <w:pStyle w:val="ListParagraph"/>
        <w:ind w:left="0" w:firstLine="720"/>
        <w:rPr>
          <w:bCs/>
          <w:sz w:val="22"/>
          <w:lang w:val="sv-SE" w:eastAsia="zh-CN" w:bidi="en-US"/>
        </w:rPr>
      </w:pPr>
      <w:r w:rsidRPr="00F60725">
        <w:rPr>
          <w:bCs/>
          <w:sz w:val="22"/>
          <w:lang w:val="sv-SE" w:eastAsia="zh-CN" w:bidi="en-US"/>
        </w:rPr>
        <w:t xml:space="preserve">Hasil tahap analisis yaitu melakukan persebaran angket terhadap tiga semester, 4, 6 dan 8. </w:t>
      </w:r>
    </w:p>
    <w:p w14:paraId="515A0DCE" w14:textId="77777777" w:rsidR="00F60725" w:rsidRPr="00F60725" w:rsidRDefault="00F60725" w:rsidP="00573CFE">
      <w:pPr>
        <w:pStyle w:val="ListParagraph"/>
        <w:numPr>
          <w:ilvl w:val="0"/>
          <w:numId w:val="10"/>
        </w:numPr>
        <w:ind w:left="426"/>
        <w:rPr>
          <w:bCs/>
          <w:sz w:val="22"/>
          <w:lang w:val="en-US" w:eastAsia="zh-CN" w:bidi="en-US"/>
        </w:rPr>
      </w:pPr>
      <w:r w:rsidRPr="00F60725">
        <w:rPr>
          <w:bCs/>
          <w:i/>
          <w:sz w:val="22"/>
          <w:lang w:val="id-ID" w:eastAsia="zh-CN" w:bidi="en-US"/>
        </w:rPr>
        <w:t xml:space="preserve">New Environmental Paradigm </w:t>
      </w:r>
      <w:r w:rsidRPr="00F60725">
        <w:rPr>
          <w:bCs/>
          <w:sz w:val="22"/>
          <w:lang w:val="id-ID" w:eastAsia="zh-CN" w:bidi="en-US"/>
        </w:rPr>
        <w:t>(NEP)</w:t>
      </w:r>
    </w:p>
    <w:p w14:paraId="06D08755" w14:textId="77777777" w:rsidR="00F60725" w:rsidRPr="00573CFE" w:rsidRDefault="00F60725" w:rsidP="00573CFE">
      <w:pPr>
        <w:pStyle w:val="ListParagraph"/>
        <w:spacing w:before="120" w:after="120"/>
        <w:ind w:hanging="720"/>
        <w:contextualSpacing w:val="0"/>
        <w:jc w:val="center"/>
        <w:rPr>
          <w:b/>
          <w:bCs/>
          <w:sz w:val="22"/>
          <w:lang w:val="en-US" w:eastAsia="zh-CN" w:bidi="en-US"/>
        </w:rPr>
      </w:pPr>
      <w:r w:rsidRPr="00573CFE">
        <w:rPr>
          <w:b/>
          <w:bCs/>
          <w:sz w:val="22"/>
          <w:lang w:val="en-US" w:eastAsia="zh-CN" w:bidi="en-US"/>
        </w:rPr>
        <w:t xml:space="preserve">Tabel 1. </w:t>
      </w:r>
      <w:proofErr w:type="spellStart"/>
      <w:r w:rsidRPr="00573CFE">
        <w:rPr>
          <w:b/>
          <w:bCs/>
          <w:sz w:val="22"/>
          <w:lang w:val="en-US" w:eastAsia="zh-CN" w:bidi="en-US"/>
        </w:rPr>
        <w:t>persentase</w:t>
      </w:r>
      <w:proofErr w:type="spellEnd"/>
      <w:r w:rsidRPr="00573CFE">
        <w:rPr>
          <w:b/>
          <w:bCs/>
          <w:sz w:val="22"/>
          <w:lang w:val="en-US" w:eastAsia="zh-CN" w:bidi="en-US"/>
        </w:rPr>
        <w:t xml:space="preserve"> NEP</w:t>
      </w:r>
    </w:p>
    <w:tbl>
      <w:tblPr>
        <w:tblW w:w="8220" w:type="dxa"/>
        <w:jc w:val="center"/>
        <w:tblBorders>
          <w:top w:val="single" w:sz="4" w:space="0" w:color="auto"/>
          <w:bottom w:val="single" w:sz="4" w:space="0" w:color="auto"/>
        </w:tblBorders>
        <w:tblLook w:val="04A0" w:firstRow="1" w:lastRow="0" w:firstColumn="1" w:lastColumn="0" w:noHBand="0" w:noVBand="1"/>
      </w:tblPr>
      <w:tblGrid>
        <w:gridCol w:w="2877"/>
        <w:gridCol w:w="1876"/>
        <w:gridCol w:w="1395"/>
        <w:gridCol w:w="2072"/>
      </w:tblGrid>
      <w:tr w:rsidR="00F60725" w:rsidRPr="00F60725" w14:paraId="0FD89EC8" w14:textId="77777777" w:rsidTr="00573CFE">
        <w:trPr>
          <w:trHeight w:val="215"/>
          <w:jc w:val="center"/>
        </w:trPr>
        <w:tc>
          <w:tcPr>
            <w:tcW w:w="2877" w:type="dxa"/>
            <w:tcBorders>
              <w:top w:val="single" w:sz="4" w:space="0" w:color="auto"/>
              <w:bottom w:val="single" w:sz="4" w:space="0" w:color="auto"/>
            </w:tcBorders>
            <w:shd w:val="clear" w:color="auto" w:fill="auto"/>
            <w:noWrap/>
            <w:vAlign w:val="center"/>
            <w:hideMark/>
          </w:tcPr>
          <w:p w14:paraId="08E48626" w14:textId="77777777" w:rsidR="00F60725" w:rsidRPr="00573CFE" w:rsidRDefault="00F60725" w:rsidP="00573CFE">
            <w:pPr>
              <w:rPr>
                <w:b/>
                <w:bCs/>
                <w:sz w:val="22"/>
                <w:lang w:val="en-US" w:eastAsia="zh-CN" w:bidi="en-US"/>
              </w:rPr>
            </w:pPr>
            <w:proofErr w:type="spellStart"/>
            <w:r w:rsidRPr="00573CFE">
              <w:rPr>
                <w:b/>
                <w:bCs/>
                <w:sz w:val="22"/>
                <w:lang w:val="en-US" w:eastAsia="zh-CN" w:bidi="en-US"/>
              </w:rPr>
              <w:t>Indikator</w:t>
            </w:r>
            <w:proofErr w:type="spellEnd"/>
          </w:p>
        </w:tc>
        <w:tc>
          <w:tcPr>
            <w:tcW w:w="0" w:type="auto"/>
            <w:tcBorders>
              <w:top w:val="single" w:sz="4" w:space="0" w:color="auto"/>
              <w:bottom w:val="single" w:sz="4" w:space="0" w:color="auto"/>
            </w:tcBorders>
          </w:tcPr>
          <w:p w14:paraId="41FB111C" w14:textId="77777777" w:rsidR="00F60725" w:rsidRPr="00573CFE" w:rsidRDefault="00F60725" w:rsidP="00573CFE">
            <w:pPr>
              <w:rPr>
                <w:b/>
                <w:bCs/>
                <w:sz w:val="22"/>
                <w:lang w:val="en-US" w:eastAsia="zh-CN" w:bidi="en-US"/>
              </w:rPr>
            </w:pPr>
            <w:proofErr w:type="spellStart"/>
            <w:r w:rsidRPr="00573CFE">
              <w:rPr>
                <w:b/>
                <w:bCs/>
                <w:sz w:val="22"/>
                <w:lang w:val="en-US" w:eastAsia="zh-CN" w:bidi="en-US"/>
              </w:rPr>
              <w:t>Jumlah</w:t>
            </w:r>
            <w:proofErr w:type="spellEnd"/>
          </w:p>
          <w:p w14:paraId="57CC2694" w14:textId="77777777" w:rsidR="00F60725" w:rsidRPr="00573CFE" w:rsidRDefault="00F60725" w:rsidP="00573CFE">
            <w:pPr>
              <w:rPr>
                <w:b/>
                <w:bCs/>
                <w:sz w:val="22"/>
                <w:lang w:val="en-US" w:eastAsia="zh-CN" w:bidi="en-US"/>
              </w:rPr>
            </w:pPr>
            <w:proofErr w:type="spellStart"/>
            <w:r w:rsidRPr="00573CFE">
              <w:rPr>
                <w:b/>
                <w:bCs/>
                <w:sz w:val="22"/>
                <w:lang w:val="en-US" w:eastAsia="zh-CN" w:bidi="en-US"/>
              </w:rPr>
              <w:t>Responden</w:t>
            </w:r>
            <w:proofErr w:type="spellEnd"/>
          </w:p>
        </w:tc>
        <w:tc>
          <w:tcPr>
            <w:tcW w:w="0" w:type="auto"/>
            <w:tcBorders>
              <w:top w:val="single" w:sz="4" w:space="0" w:color="auto"/>
              <w:bottom w:val="single" w:sz="4" w:space="0" w:color="auto"/>
            </w:tcBorders>
            <w:shd w:val="clear" w:color="auto" w:fill="auto"/>
            <w:noWrap/>
            <w:vAlign w:val="center"/>
            <w:hideMark/>
          </w:tcPr>
          <w:p w14:paraId="4DF0D993" w14:textId="77777777" w:rsidR="00F60725" w:rsidRPr="00573CFE" w:rsidRDefault="00F60725" w:rsidP="00573CFE">
            <w:pPr>
              <w:rPr>
                <w:b/>
                <w:bCs/>
                <w:sz w:val="22"/>
                <w:lang w:val="en-US" w:eastAsia="zh-CN" w:bidi="en-US"/>
              </w:rPr>
            </w:pPr>
            <w:r w:rsidRPr="00573CFE">
              <w:rPr>
                <w:b/>
                <w:bCs/>
                <w:sz w:val="22"/>
                <w:lang w:val="en-US" w:eastAsia="zh-CN" w:bidi="en-US"/>
              </w:rPr>
              <w:t>%</w:t>
            </w:r>
          </w:p>
        </w:tc>
        <w:tc>
          <w:tcPr>
            <w:tcW w:w="0" w:type="auto"/>
            <w:tcBorders>
              <w:top w:val="single" w:sz="4" w:space="0" w:color="auto"/>
              <w:bottom w:val="single" w:sz="4" w:space="0" w:color="auto"/>
            </w:tcBorders>
            <w:shd w:val="clear" w:color="auto" w:fill="auto"/>
            <w:noWrap/>
            <w:vAlign w:val="center"/>
            <w:hideMark/>
          </w:tcPr>
          <w:p w14:paraId="2BD7C621" w14:textId="77777777" w:rsidR="00F60725" w:rsidRPr="00F60725" w:rsidRDefault="00F60725" w:rsidP="00573CFE">
            <w:pPr>
              <w:pStyle w:val="ListParagraph"/>
              <w:rPr>
                <w:b/>
                <w:bCs/>
                <w:sz w:val="22"/>
                <w:lang w:val="en-US" w:eastAsia="zh-CN" w:bidi="en-US"/>
              </w:rPr>
            </w:pPr>
            <w:proofErr w:type="spellStart"/>
            <w:r w:rsidRPr="00F60725">
              <w:rPr>
                <w:b/>
                <w:bCs/>
                <w:sz w:val="22"/>
                <w:lang w:val="en-US" w:eastAsia="zh-CN" w:bidi="en-US"/>
              </w:rPr>
              <w:t>Kategori</w:t>
            </w:r>
            <w:proofErr w:type="spellEnd"/>
          </w:p>
        </w:tc>
      </w:tr>
      <w:tr w:rsidR="00F60725" w:rsidRPr="00F60725" w14:paraId="3B5B550C" w14:textId="77777777" w:rsidTr="00573CFE">
        <w:trPr>
          <w:trHeight w:val="215"/>
          <w:jc w:val="center"/>
        </w:trPr>
        <w:tc>
          <w:tcPr>
            <w:tcW w:w="2877" w:type="dxa"/>
            <w:tcBorders>
              <w:top w:val="single" w:sz="4" w:space="0" w:color="auto"/>
            </w:tcBorders>
            <w:shd w:val="clear" w:color="auto" w:fill="auto"/>
            <w:noWrap/>
            <w:vAlign w:val="center"/>
            <w:hideMark/>
          </w:tcPr>
          <w:p w14:paraId="04501A61" w14:textId="77777777" w:rsidR="00F60725" w:rsidRPr="00F60725" w:rsidRDefault="00F60725" w:rsidP="00573CFE">
            <w:pPr>
              <w:pStyle w:val="ListParagraph"/>
              <w:rPr>
                <w:bCs/>
                <w:i/>
                <w:iCs/>
                <w:sz w:val="22"/>
                <w:lang w:val="en-US" w:eastAsia="zh-CN" w:bidi="en-US"/>
              </w:rPr>
            </w:pPr>
            <w:r w:rsidRPr="00F60725">
              <w:rPr>
                <w:bCs/>
                <w:i/>
                <w:iCs/>
                <w:sz w:val="22"/>
                <w:lang w:val="en-US" w:eastAsia="zh-CN" w:bidi="en-US"/>
              </w:rPr>
              <w:t xml:space="preserve">Anti </w:t>
            </w:r>
            <w:proofErr w:type="spellStart"/>
            <w:r w:rsidRPr="00F60725">
              <w:rPr>
                <w:bCs/>
                <w:i/>
                <w:iCs/>
                <w:sz w:val="22"/>
                <w:lang w:val="en-US" w:eastAsia="zh-CN" w:bidi="en-US"/>
              </w:rPr>
              <w:t>Examtionalism</w:t>
            </w:r>
            <w:proofErr w:type="spellEnd"/>
          </w:p>
        </w:tc>
        <w:tc>
          <w:tcPr>
            <w:tcW w:w="0" w:type="auto"/>
            <w:tcBorders>
              <w:top w:val="single" w:sz="4" w:space="0" w:color="auto"/>
            </w:tcBorders>
          </w:tcPr>
          <w:p w14:paraId="1010A5CD"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89</w:t>
            </w:r>
          </w:p>
        </w:tc>
        <w:tc>
          <w:tcPr>
            <w:tcW w:w="0" w:type="auto"/>
            <w:tcBorders>
              <w:top w:val="single" w:sz="4" w:space="0" w:color="auto"/>
            </w:tcBorders>
            <w:shd w:val="clear" w:color="auto" w:fill="auto"/>
            <w:noWrap/>
            <w:vAlign w:val="center"/>
            <w:hideMark/>
          </w:tcPr>
          <w:p w14:paraId="69B5638A" w14:textId="77777777" w:rsidR="00F60725" w:rsidRPr="00F60725" w:rsidRDefault="00F60725" w:rsidP="00573CFE">
            <w:pPr>
              <w:pStyle w:val="ListParagraph"/>
              <w:rPr>
                <w:bCs/>
                <w:sz w:val="22"/>
                <w:lang w:val="en-US" w:eastAsia="zh-CN" w:bidi="en-US"/>
              </w:rPr>
            </w:pPr>
            <w:r w:rsidRPr="00F60725">
              <w:rPr>
                <w:bCs/>
                <w:sz w:val="22"/>
                <w:lang w:val="en-US" w:eastAsia="zh-CN" w:bidi="en-US"/>
              </w:rPr>
              <w:t>76%</w:t>
            </w:r>
          </w:p>
        </w:tc>
        <w:tc>
          <w:tcPr>
            <w:tcW w:w="0" w:type="auto"/>
            <w:tcBorders>
              <w:top w:val="single" w:sz="4" w:space="0" w:color="auto"/>
            </w:tcBorders>
            <w:shd w:val="clear" w:color="auto" w:fill="auto"/>
            <w:noWrap/>
            <w:vAlign w:val="center"/>
            <w:hideMark/>
          </w:tcPr>
          <w:p w14:paraId="6EB89C91"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Baik</w:t>
            </w:r>
          </w:p>
        </w:tc>
      </w:tr>
      <w:tr w:rsidR="00F60725" w:rsidRPr="00F60725" w14:paraId="360412F1" w14:textId="77777777" w:rsidTr="00573CFE">
        <w:trPr>
          <w:trHeight w:val="215"/>
          <w:jc w:val="center"/>
        </w:trPr>
        <w:tc>
          <w:tcPr>
            <w:tcW w:w="2877" w:type="dxa"/>
            <w:shd w:val="clear" w:color="auto" w:fill="auto"/>
            <w:noWrap/>
            <w:vAlign w:val="center"/>
            <w:hideMark/>
          </w:tcPr>
          <w:p w14:paraId="39DA7644" w14:textId="77777777" w:rsidR="00F60725" w:rsidRPr="00F60725" w:rsidRDefault="00F60725" w:rsidP="00573CFE">
            <w:pPr>
              <w:pStyle w:val="ListParagraph"/>
              <w:rPr>
                <w:bCs/>
                <w:i/>
                <w:iCs/>
                <w:sz w:val="22"/>
                <w:lang w:val="en-US" w:eastAsia="zh-CN" w:bidi="en-US"/>
              </w:rPr>
            </w:pPr>
            <w:r w:rsidRPr="00F60725">
              <w:rPr>
                <w:bCs/>
                <w:i/>
                <w:iCs/>
                <w:sz w:val="22"/>
                <w:lang w:val="en-US" w:eastAsia="zh-CN" w:bidi="en-US"/>
              </w:rPr>
              <w:t xml:space="preserve">Anti </w:t>
            </w:r>
            <w:proofErr w:type="spellStart"/>
            <w:r w:rsidRPr="00F60725">
              <w:rPr>
                <w:bCs/>
                <w:i/>
                <w:iCs/>
                <w:sz w:val="22"/>
                <w:lang w:val="en-US" w:eastAsia="zh-CN" w:bidi="en-US"/>
              </w:rPr>
              <w:t>Anthopocentrism</w:t>
            </w:r>
            <w:proofErr w:type="spellEnd"/>
          </w:p>
        </w:tc>
        <w:tc>
          <w:tcPr>
            <w:tcW w:w="0" w:type="auto"/>
          </w:tcPr>
          <w:p w14:paraId="0CF7DE6E"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89</w:t>
            </w:r>
          </w:p>
        </w:tc>
        <w:tc>
          <w:tcPr>
            <w:tcW w:w="0" w:type="auto"/>
            <w:shd w:val="clear" w:color="auto" w:fill="auto"/>
            <w:noWrap/>
            <w:vAlign w:val="center"/>
            <w:hideMark/>
          </w:tcPr>
          <w:p w14:paraId="1C1CDFA1" w14:textId="77777777" w:rsidR="00F60725" w:rsidRPr="00F60725" w:rsidRDefault="00F60725" w:rsidP="00573CFE">
            <w:pPr>
              <w:pStyle w:val="ListParagraph"/>
              <w:rPr>
                <w:bCs/>
                <w:sz w:val="22"/>
                <w:lang w:val="en-US" w:eastAsia="zh-CN" w:bidi="en-US"/>
              </w:rPr>
            </w:pPr>
            <w:r w:rsidRPr="00F60725">
              <w:rPr>
                <w:bCs/>
                <w:sz w:val="22"/>
                <w:lang w:val="en-US" w:eastAsia="zh-CN" w:bidi="en-US"/>
              </w:rPr>
              <w:t>76%</w:t>
            </w:r>
          </w:p>
        </w:tc>
        <w:tc>
          <w:tcPr>
            <w:tcW w:w="0" w:type="auto"/>
            <w:shd w:val="clear" w:color="auto" w:fill="auto"/>
            <w:noWrap/>
            <w:vAlign w:val="center"/>
            <w:hideMark/>
          </w:tcPr>
          <w:p w14:paraId="1ABBE9C6"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Baik</w:t>
            </w:r>
          </w:p>
        </w:tc>
      </w:tr>
      <w:tr w:rsidR="00F60725" w:rsidRPr="00F60725" w14:paraId="167F1D23" w14:textId="77777777" w:rsidTr="00573CFE">
        <w:trPr>
          <w:trHeight w:val="215"/>
          <w:jc w:val="center"/>
        </w:trPr>
        <w:tc>
          <w:tcPr>
            <w:tcW w:w="2877" w:type="dxa"/>
            <w:shd w:val="clear" w:color="auto" w:fill="auto"/>
            <w:noWrap/>
            <w:vAlign w:val="center"/>
            <w:hideMark/>
          </w:tcPr>
          <w:p w14:paraId="5557825D" w14:textId="77777777" w:rsidR="00F60725" w:rsidRPr="00F60725" w:rsidRDefault="00F60725" w:rsidP="00573CFE">
            <w:pPr>
              <w:pStyle w:val="ListParagraph"/>
              <w:rPr>
                <w:bCs/>
                <w:i/>
                <w:iCs/>
                <w:sz w:val="22"/>
                <w:lang w:val="en-US" w:eastAsia="zh-CN" w:bidi="en-US"/>
              </w:rPr>
            </w:pPr>
            <w:r w:rsidRPr="00F60725">
              <w:rPr>
                <w:bCs/>
                <w:i/>
                <w:iCs/>
                <w:sz w:val="22"/>
                <w:lang w:val="en-US" w:eastAsia="zh-CN" w:bidi="en-US"/>
              </w:rPr>
              <w:t>Limits To Growth</w:t>
            </w:r>
          </w:p>
        </w:tc>
        <w:tc>
          <w:tcPr>
            <w:tcW w:w="0" w:type="auto"/>
          </w:tcPr>
          <w:p w14:paraId="19310952"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89</w:t>
            </w:r>
          </w:p>
        </w:tc>
        <w:tc>
          <w:tcPr>
            <w:tcW w:w="0" w:type="auto"/>
            <w:shd w:val="clear" w:color="auto" w:fill="auto"/>
            <w:noWrap/>
            <w:vAlign w:val="center"/>
            <w:hideMark/>
          </w:tcPr>
          <w:p w14:paraId="093F58F9" w14:textId="77777777" w:rsidR="00F60725" w:rsidRPr="00F60725" w:rsidRDefault="00F60725" w:rsidP="00573CFE">
            <w:pPr>
              <w:pStyle w:val="ListParagraph"/>
              <w:rPr>
                <w:bCs/>
                <w:sz w:val="22"/>
                <w:lang w:val="en-US" w:eastAsia="zh-CN" w:bidi="en-US"/>
              </w:rPr>
            </w:pPr>
            <w:r w:rsidRPr="00F60725">
              <w:rPr>
                <w:bCs/>
                <w:sz w:val="22"/>
                <w:lang w:val="en-US" w:eastAsia="zh-CN" w:bidi="en-US"/>
              </w:rPr>
              <w:t>78%</w:t>
            </w:r>
          </w:p>
        </w:tc>
        <w:tc>
          <w:tcPr>
            <w:tcW w:w="0" w:type="auto"/>
            <w:shd w:val="clear" w:color="auto" w:fill="auto"/>
            <w:noWrap/>
            <w:vAlign w:val="center"/>
            <w:hideMark/>
          </w:tcPr>
          <w:p w14:paraId="5E44F530"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Baik</w:t>
            </w:r>
          </w:p>
        </w:tc>
      </w:tr>
      <w:tr w:rsidR="00F60725" w:rsidRPr="00F60725" w14:paraId="7F2144AE" w14:textId="77777777" w:rsidTr="00573CFE">
        <w:trPr>
          <w:trHeight w:val="215"/>
          <w:jc w:val="center"/>
        </w:trPr>
        <w:tc>
          <w:tcPr>
            <w:tcW w:w="2877" w:type="dxa"/>
            <w:shd w:val="clear" w:color="auto" w:fill="auto"/>
            <w:noWrap/>
            <w:vAlign w:val="center"/>
            <w:hideMark/>
          </w:tcPr>
          <w:p w14:paraId="258D945E" w14:textId="77777777" w:rsidR="00F60725" w:rsidRPr="00F60725" w:rsidRDefault="00F60725" w:rsidP="00573CFE">
            <w:pPr>
              <w:pStyle w:val="ListParagraph"/>
              <w:rPr>
                <w:bCs/>
                <w:i/>
                <w:iCs/>
                <w:sz w:val="22"/>
                <w:lang w:val="en-US" w:eastAsia="zh-CN" w:bidi="en-US"/>
              </w:rPr>
            </w:pPr>
            <w:r w:rsidRPr="00F60725">
              <w:rPr>
                <w:bCs/>
                <w:i/>
                <w:iCs/>
                <w:sz w:val="22"/>
                <w:lang w:val="en-US" w:eastAsia="zh-CN" w:bidi="en-US"/>
              </w:rPr>
              <w:t>Balance Of Nature</w:t>
            </w:r>
          </w:p>
        </w:tc>
        <w:tc>
          <w:tcPr>
            <w:tcW w:w="0" w:type="auto"/>
          </w:tcPr>
          <w:p w14:paraId="4381AD05"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89</w:t>
            </w:r>
          </w:p>
        </w:tc>
        <w:tc>
          <w:tcPr>
            <w:tcW w:w="0" w:type="auto"/>
            <w:shd w:val="clear" w:color="auto" w:fill="auto"/>
            <w:noWrap/>
            <w:vAlign w:val="center"/>
            <w:hideMark/>
          </w:tcPr>
          <w:p w14:paraId="60D76E9C" w14:textId="77777777" w:rsidR="00F60725" w:rsidRPr="00F60725" w:rsidRDefault="00F60725" w:rsidP="00573CFE">
            <w:pPr>
              <w:pStyle w:val="ListParagraph"/>
              <w:rPr>
                <w:bCs/>
                <w:sz w:val="22"/>
                <w:lang w:val="en-US" w:eastAsia="zh-CN" w:bidi="en-US"/>
              </w:rPr>
            </w:pPr>
            <w:r w:rsidRPr="00F60725">
              <w:rPr>
                <w:bCs/>
                <w:sz w:val="22"/>
                <w:lang w:val="en-US" w:eastAsia="zh-CN" w:bidi="en-US"/>
              </w:rPr>
              <w:t>62%</w:t>
            </w:r>
          </w:p>
        </w:tc>
        <w:tc>
          <w:tcPr>
            <w:tcW w:w="0" w:type="auto"/>
            <w:shd w:val="clear" w:color="auto" w:fill="auto"/>
            <w:noWrap/>
            <w:vAlign w:val="center"/>
            <w:hideMark/>
          </w:tcPr>
          <w:p w14:paraId="43BB2FB0"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Baik</w:t>
            </w:r>
          </w:p>
        </w:tc>
      </w:tr>
      <w:tr w:rsidR="00F60725" w:rsidRPr="00F60725" w14:paraId="354893BF" w14:textId="77777777" w:rsidTr="00573CFE">
        <w:trPr>
          <w:trHeight w:val="215"/>
          <w:jc w:val="center"/>
        </w:trPr>
        <w:tc>
          <w:tcPr>
            <w:tcW w:w="2877" w:type="dxa"/>
            <w:shd w:val="clear" w:color="auto" w:fill="auto"/>
            <w:noWrap/>
            <w:vAlign w:val="center"/>
            <w:hideMark/>
          </w:tcPr>
          <w:p w14:paraId="3A54CDEF" w14:textId="77777777" w:rsidR="00F60725" w:rsidRPr="00F60725" w:rsidRDefault="00F60725" w:rsidP="00F60725">
            <w:pPr>
              <w:pStyle w:val="ListParagraph"/>
              <w:ind w:firstLine="720"/>
              <w:rPr>
                <w:bCs/>
                <w:i/>
                <w:iCs/>
                <w:sz w:val="22"/>
                <w:lang w:val="en-US" w:eastAsia="zh-CN" w:bidi="en-US"/>
              </w:rPr>
            </w:pPr>
            <w:r w:rsidRPr="00F60725">
              <w:rPr>
                <w:bCs/>
                <w:i/>
                <w:iCs/>
                <w:sz w:val="22"/>
                <w:lang w:val="en-US" w:eastAsia="zh-CN" w:bidi="en-US"/>
              </w:rPr>
              <w:t xml:space="preserve">Eco </w:t>
            </w:r>
            <w:proofErr w:type="spellStart"/>
            <w:r w:rsidRPr="00F60725">
              <w:rPr>
                <w:bCs/>
                <w:i/>
                <w:iCs/>
                <w:sz w:val="22"/>
                <w:lang w:val="en-US" w:eastAsia="zh-CN" w:bidi="en-US"/>
              </w:rPr>
              <w:t>centris</w:t>
            </w:r>
            <w:proofErr w:type="spellEnd"/>
          </w:p>
        </w:tc>
        <w:tc>
          <w:tcPr>
            <w:tcW w:w="0" w:type="auto"/>
          </w:tcPr>
          <w:p w14:paraId="626D1414"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89</w:t>
            </w:r>
          </w:p>
        </w:tc>
        <w:tc>
          <w:tcPr>
            <w:tcW w:w="0" w:type="auto"/>
            <w:shd w:val="clear" w:color="auto" w:fill="auto"/>
            <w:noWrap/>
            <w:vAlign w:val="center"/>
            <w:hideMark/>
          </w:tcPr>
          <w:p w14:paraId="0DA81D55" w14:textId="77777777" w:rsidR="00F60725" w:rsidRPr="00F60725" w:rsidRDefault="00F60725" w:rsidP="00573CFE">
            <w:pPr>
              <w:pStyle w:val="ListParagraph"/>
              <w:rPr>
                <w:bCs/>
                <w:sz w:val="22"/>
                <w:lang w:val="en-US" w:eastAsia="zh-CN" w:bidi="en-US"/>
              </w:rPr>
            </w:pPr>
            <w:r w:rsidRPr="00F60725">
              <w:rPr>
                <w:bCs/>
                <w:sz w:val="22"/>
                <w:lang w:val="en-US" w:eastAsia="zh-CN" w:bidi="en-US"/>
              </w:rPr>
              <w:t>71%</w:t>
            </w:r>
          </w:p>
        </w:tc>
        <w:tc>
          <w:tcPr>
            <w:tcW w:w="0" w:type="auto"/>
            <w:shd w:val="clear" w:color="auto" w:fill="auto"/>
            <w:noWrap/>
            <w:vAlign w:val="center"/>
            <w:hideMark/>
          </w:tcPr>
          <w:p w14:paraId="057A0619"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Baik</w:t>
            </w:r>
          </w:p>
        </w:tc>
      </w:tr>
      <w:tr w:rsidR="00F60725" w:rsidRPr="00F60725" w14:paraId="2D291059" w14:textId="77777777" w:rsidTr="00573CFE">
        <w:trPr>
          <w:trHeight w:val="215"/>
          <w:jc w:val="center"/>
        </w:trPr>
        <w:tc>
          <w:tcPr>
            <w:tcW w:w="4753" w:type="dxa"/>
            <w:gridSpan w:val="2"/>
            <w:shd w:val="clear" w:color="auto" w:fill="auto"/>
            <w:noWrap/>
            <w:vAlign w:val="center"/>
          </w:tcPr>
          <w:p w14:paraId="3C58D5BD" w14:textId="77777777" w:rsidR="00F60725" w:rsidRPr="00F60725" w:rsidRDefault="00F60725" w:rsidP="00F60725">
            <w:pPr>
              <w:pStyle w:val="ListParagraph"/>
              <w:ind w:firstLine="720"/>
              <w:rPr>
                <w:bCs/>
                <w:sz w:val="22"/>
                <w:lang w:val="en-US" w:eastAsia="zh-CN" w:bidi="en-US"/>
              </w:rPr>
            </w:pPr>
            <w:proofErr w:type="spellStart"/>
            <w:r w:rsidRPr="00F60725">
              <w:rPr>
                <w:b/>
                <w:bCs/>
                <w:sz w:val="22"/>
                <w:lang w:val="en-US" w:eastAsia="zh-CN" w:bidi="en-US"/>
              </w:rPr>
              <w:t>Persentase</w:t>
            </w:r>
            <w:proofErr w:type="spellEnd"/>
          </w:p>
        </w:tc>
        <w:tc>
          <w:tcPr>
            <w:tcW w:w="0" w:type="auto"/>
            <w:shd w:val="clear" w:color="auto" w:fill="auto"/>
            <w:noWrap/>
            <w:vAlign w:val="center"/>
          </w:tcPr>
          <w:p w14:paraId="370C74D9" w14:textId="77777777" w:rsidR="00F60725" w:rsidRPr="00F60725" w:rsidRDefault="00F60725" w:rsidP="00573CFE">
            <w:pPr>
              <w:pStyle w:val="ListParagraph"/>
              <w:rPr>
                <w:bCs/>
                <w:sz w:val="22"/>
                <w:lang w:val="en-US" w:eastAsia="zh-CN" w:bidi="en-US"/>
              </w:rPr>
            </w:pPr>
            <w:r w:rsidRPr="00F60725">
              <w:rPr>
                <w:bCs/>
                <w:sz w:val="22"/>
                <w:lang w:val="en-US" w:eastAsia="zh-CN" w:bidi="en-US"/>
              </w:rPr>
              <w:t>73 %</w:t>
            </w:r>
          </w:p>
        </w:tc>
        <w:tc>
          <w:tcPr>
            <w:tcW w:w="0" w:type="auto"/>
            <w:shd w:val="clear" w:color="auto" w:fill="auto"/>
            <w:noWrap/>
            <w:vAlign w:val="center"/>
          </w:tcPr>
          <w:p w14:paraId="73EB83B8"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Baik</w:t>
            </w:r>
          </w:p>
        </w:tc>
      </w:tr>
    </w:tbl>
    <w:p w14:paraId="1B64EC64" w14:textId="77777777" w:rsidR="00F60725" w:rsidRPr="00F60725" w:rsidRDefault="00F60725" w:rsidP="00F60725">
      <w:pPr>
        <w:pStyle w:val="ListParagraph"/>
        <w:ind w:firstLine="720"/>
        <w:rPr>
          <w:bCs/>
          <w:sz w:val="22"/>
          <w:lang w:val="en-US" w:eastAsia="zh-CN" w:bidi="en-US"/>
        </w:rPr>
      </w:pPr>
    </w:p>
    <w:p w14:paraId="09CD8BCD" w14:textId="77777777" w:rsidR="00F60725" w:rsidRPr="00F60725" w:rsidRDefault="00F60725" w:rsidP="00F60725">
      <w:pPr>
        <w:pStyle w:val="ListParagraph"/>
        <w:ind w:firstLine="720"/>
        <w:rPr>
          <w:bCs/>
          <w:sz w:val="22"/>
          <w:lang w:val="sv-SE" w:eastAsia="zh-CN" w:bidi="en-US"/>
        </w:rPr>
      </w:pPr>
      <w:r w:rsidRPr="00F60725">
        <w:rPr>
          <w:bCs/>
          <w:sz w:val="22"/>
          <w:lang w:val="sv-SE" w:eastAsia="zh-CN" w:bidi="en-US"/>
        </w:rPr>
        <w:t>Dirangkum dalam diagram sebagai berikut :</w:t>
      </w:r>
    </w:p>
    <w:p w14:paraId="2D78F849" w14:textId="77777777" w:rsidR="00F60725" w:rsidRPr="00F60725" w:rsidRDefault="00F60725" w:rsidP="00F60725">
      <w:pPr>
        <w:pStyle w:val="ListParagraph"/>
        <w:ind w:firstLine="720"/>
        <w:rPr>
          <w:bCs/>
          <w:sz w:val="22"/>
          <w:lang w:val="sv-SE" w:eastAsia="zh-CN" w:bidi="en-US"/>
        </w:rPr>
      </w:pPr>
    </w:p>
    <w:p w14:paraId="14D9E6EF" w14:textId="77777777" w:rsidR="00F60725" w:rsidRPr="00F60725" w:rsidRDefault="00F60725" w:rsidP="00573CFE">
      <w:pPr>
        <w:pStyle w:val="ListParagraph"/>
        <w:ind w:hanging="862"/>
        <w:jc w:val="center"/>
        <w:rPr>
          <w:bCs/>
          <w:sz w:val="22"/>
          <w:lang w:val="en-US" w:eastAsia="zh-CN" w:bidi="en-US"/>
        </w:rPr>
      </w:pPr>
      <w:r w:rsidRPr="00F60725">
        <w:rPr>
          <w:bCs/>
          <w:noProof/>
          <w:sz w:val="22"/>
          <w:lang w:val="en-US"/>
        </w:rPr>
        <w:drawing>
          <wp:inline distT="0" distB="0" distL="0" distR="0" wp14:anchorId="51B03B14" wp14:editId="70D76147">
            <wp:extent cx="2954020" cy="1772920"/>
            <wp:effectExtent l="0" t="0" r="17780" b="1778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7D0D35" w14:textId="77777777" w:rsidR="00F60725" w:rsidRPr="00573CFE" w:rsidRDefault="00F60725" w:rsidP="00573CFE">
      <w:pPr>
        <w:pStyle w:val="ListParagraph"/>
        <w:ind w:hanging="720"/>
        <w:jc w:val="center"/>
        <w:rPr>
          <w:b/>
          <w:bCs/>
          <w:sz w:val="22"/>
          <w:lang w:val="sv-SE" w:eastAsia="zh-CN" w:bidi="en-US"/>
        </w:rPr>
      </w:pPr>
      <w:r w:rsidRPr="00573CFE">
        <w:rPr>
          <w:b/>
          <w:bCs/>
          <w:sz w:val="22"/>
          <w:lang w:val="sv-SE" w:eastAsia="zh-CN" w:bidi="en-US"/>
        </w:rPr>
        <w:t>Gambar 1. Diagram Batang Skala NEP</w:t>
      </w:r>
    </w:p>
    <w:p w14:paraId="06706E71" w14:textId="77777777" w:rsidR="00F60725" w:rsidRPr="00F60725" w:rsidRDefault="00F60725" w:rsidP="00F60725">
      <w:pPr>
        <w:pStyle w:val="ListParagraph"/>
        <w:ind w:firstLine="720"/>
        <w:rPr>
          <w:bCs/>
          <w:sz w:val="22"/>
          <w:lang w:val="sv-SE" w:eastAsia="zh-CN" w:bidi="en-US"/>
        </w:rPr>
      </w:pPr>
    </w:p>
    <w:p w14:paraId="2249A3C5" w14:textId="77777777" w:rsidR="00F60725" w:rsidRPr="00F60725" w:rsidRDefault="00F60725" w:rsidP="00573CFE">
      <w:pPr>
        <w:pStyle w:val="ListParagraph"/>
        <w:ind w:left="0" w:firstLine="720"/>
        <w:rPr>
          <w:bCs/>
          <w:sz w:val="22"/>
          <w:lang w:val="sv-SE" w:eastAsia="zh-CN" w:bidi="en-US"/>
        </w:rPr>
      </w:pPr>
      <w:r w:rsidRPr="00F60725">
        <w:rPr>
          <w:bCs/>
          <w:sz w:val="22"/>
          <w:lang w:val="sv-SE" w:eastAsia="zh-CN" w:bidi="en-US"/>
        </w:rPr>
        <w:t>Berdasarkan hasil analisis Skala NEP sebagai berikut :</w:t>
      </w:r>
    </w:p>
    <w:p w14:paraId="7E1C7150" w14:textId="77777777" w:rsidR="00F60725" w:rsidRPr="00F60725" w:rsidRDefault="00F60725" w:rsidP="00573CFE">
      <w:pPr>
        <w:pStyle w:val="ListParagraph"/>
        <w:ind w:left="0" w:firstLine="720"/>
        <w:rPr>
          <w:bCs/>
          <w:sz w:val="22"/>
          <w:lang w:val="sv-SE" w:eastAsia="zh-CN" w:bidi="en-US"/>
        </w:rPr>
      </w:pPr>
      <w:r w:rsidRPr="00F60725">
        <w:rPr>
          <w:bCs/>
          <w:sz w:val="22"/>
          <w:lang w:val="sv-SE" w:eastAsia="zh-CN" w:bidi="en-US"/>
        </w:rPr>
        <w:t xml:space="preserve">Indikator </w:t>
      </w:r>
      <w:r w:rsidRPr="00F60725">
        <w:rPr>
          <w:bCs/>
          <w:i/>
          <w:iCs/>
          <w:sz w:val="22"/>
          <w:lang w:val="sv-SE" w:eastAsia="zh-CN" w:bidi="en-US"/>
        </w:rPr>
        <w:t>anti exsamtionalism</w:t>
      </w:r>
      <w:r w:rsidRPr="00F60725">
        <w:rPr>
          <w:bCs/>
          <w:sz w:val="22"/>
          <w:lang w:val="sv-SE" w:eastAsia="zh-CN" w:bidi="en-US"/>
        </w:rPr>
        <w:t xml:space="preserve"> rata-rata persentase medapatkan hasil 76%</w:t>
      </w:r>
      <w:r w:rsidRPr="00F60725">
        <w:rPr>
          <w:bCs/>
          <w:sz w:val="22"/>
          <w:lang w:val="id-ID" w:eastAsia="zh-CN" w:bidi="en-US"/>
        </w:rPr>
        <w:t xml:space="preserve"> termasuk dalam kategori baik</w:t>
      </w:r>
      <w:r w:rsidRPr="00F60725">
        <w:rPr>
          <w:bCs/>
          <w:sz w:val="22"/>
          <w:lang w:val="sv-SE" w:eastAsia="zh-CN" w:bidi="en-US"/>
        </w:rPr>
        <w:t>, artinya sebagian besar mahasiswa calon guru biologi sudah dapat bertanggung jawab dalam mengelola lingkungan.</w:t>
      </w:r>
    </w:p>
    <w:p w14:paraId="24340579" w14:textId="77777777" w:rsidR="00F60725" w:rsidRPr="00F60725" w:rsidRDefault="00F60725" w:rsidP="00573CFE">
      <w:pPr>
        <w:pStyle w:val="ListParagraph"/>
        <w:ind w:left="0" w:firstLine="720"/>
        <w:rPr>
          <w:bCs/>
          <w:sz w:val="22"/>
          <w:lang w:val="sv-SE" w:eastAsia="zh-CN" w:bidi="en-US"/>
        </w:rPr>
      </w:pPr>
      <w:r w:rsidRPr="00F60725">
        <w:rPr>
          <w:bCs/>
          <w:sz w:val="22"/>
          <w:lang w:val="sv-SE" w:eastAsia="zh-CN" w:bidi="en-US"/>
        </w:rPr>
        <w:t xml:space="preserve">Indikator </w:t>
      </w:r>
      <w:r w:rsidRPr="00F60725">
        <w:rPr>
          <w:bCs/>
          <w:i/>
          <w:iCs/>
          <w:sz w:val="22"/>
          <w:lang w:val="sv-SE" w:eastAsia="zh-CN" w:bidi="en-US"/>
        </w:rPr>
        <w:t xml:space="preserve">anti anthopocentrim </w:t>
      </w:r>
      <w:r w:rsidRPr="00F60725">
        <w:rPr>
          <w:bCs/>
          <w:sz w:val="22"/>
          <w:lang w:val="sv-SE" w:eastAsia="zh-CN" w:bidi="en-US"/>
        </w:rPr>
        <w:t>rata-rata persentase medapatkan hasil 76%</w:t>
      </w:r>
      <w:r w:rsidRPr="00F60725">
        <w:rPr>
          <w:bCs/>
          <w:sz w:val="22"/>
          <w:lang w:val="id-ID" w:eastAsia="zh-CN" w:bidi="en-US"/>
        </w:rPr>
        <w:t xml:space="preserve"> termasuk dalam kategori baik</w:t>
      </w:r>
      <w:r w:rsidRPr="00F60725">
        <w:rPr>
          <w:bCs/>
          <w:sz w:val="22"/>
          <w:lang w:val="sv-SE" w:eastAsia="zh-CN" w:bidi="en-US"/>
        </w:rPr>
        <w:t>, artinya sebagian besar mahasiswa calon guru biologi sudah dapat mengendalikan ego dalam memanfaatkan sumber daya alam dan lingkungan</w:t>
      </w:r>
      <w:r w:rsidR="00573CFE">
        <w:rPr>
          <w:bCs/>
          <w:sz w:val="22"/>
          <w:lang w:val="sv-SE" w:eastAsia="zh-CN" w:bidi="en-US"/>
        </w:rPr>
        <w:t xml:space="preserve"> </w:t>
      </w:r>
      <w:r w:rsidR="00573CFE">
        <w:rPr>
          <w:bCs/>
          <w:sz w:val="22"/>
          <w:lang w:val="sv-SE" w:eastAsia="zh-CN" w:bidi="en-US"/>
        </w:rPr>
        <w:fldChar w:fldCharType="begin" w:fldLock="1"/>
      </w:r>
      <w:r w:rsidR="00573CFE">
        <w:rPr>
          <w:bCs/>
          <w:sz w:val="22"/>
          <w:lang w:val="sv-SE" w:eastAsia="zh-CN" w:bidi="en-US"/>
        </w:rPr>
        <w:instrText>ADDIN CSL_CITATION {"citationItems":[{"id":"ITEM-1","itemData":{"DOI":"10.3109/02770903.2011.560320","ISSN":"0277-0903","author":[{"dropping-particle":"","family":"Andrew Kovesi","given":"Thomas","non-dropping-particle":"","parse-names":false,"suffix":""},{"dropping-particle":"","family":"Cao","given":"Zhirong","non-dropping-particle":"","parse-names":false,"suffix":""},{"dropping-particle":"","family":"Osborne","given":"Geraldine","non-dropping-particle":"","parse-names":false,"suffix":""},{"dropping-particle":"","family":"Egeland","given":"Grace M","non-dropping-particle":"","parse-names":false,"suffix":""}],"container-title":"Journal of Asthma","id":"ITEM-1","issue":"3","issued":{"date-parts":[["2019","4","11"]]},"page":"241-247","publisher":"Taylor &amp; Francis","title":"Severe Early Lower Respiratory Tract Infection is Associated with Subsequent Respiratory Morbidity in Preschool Inuit Children in Nunavut, Canada","type":"article-journal","volume":"48"},"uris":["http://www.mendeley.com/documents/?uuid=51c6987c-baac-427f-9a23-bd495a3881b7"]}],"mendeley":{"formattedCitation":"(Andrew Kovesi et al., 2019)","plainTextFormattedCitation":"(Andrew Kovesi et al., 2019)","previouslyFormattedCitation":"(Andrew Kovesi et al., 2019)"},"properties":{"noteIndex":0},"schema":"https://github.com/citation-style-language/schema/raw/master/csl-citation.json"}</w:instrText>
      </w:r>
      <w:r w:rsidR="00573CFE">
        <w:rPr>
          <w:bCs/>
          <w:sz w:val="22"/>
          <w:lang w:val="sv-SE" w:eastAsia="zh-CN" w:bidi="en-US"/>
        </w:rPr>
        <w:fldChar w:fldCharType="separate"/>
      </w:r>
      <w:r w:rsidR="00573CFE" w:rsidRPr="00573CFE">
        <w:rPr>
          <w:bCs/>
          <w:noProof/>
          <w:sz w:val="22"/>
          <w:lang w:val="sv-SE" w:eastAsia="zh-CN" w:bidi="en-US"/>
        </w:rPr>
        <w:t>(Andrew Kovesi et al., 2019)</w:t>
      </w:r>
      <w:r w:rsidR="00573CFE">
        <w:rPr>
          <w:bCs/>
          <w:sz w:val="22"/>
          <w:lang w:val="sv-SE" w:eastAsia="zh-CN" w:bidi="en-US"/>
        </w:rPr>
        <w:fldChar w:fldCharType="end"/>
      </w:r>
      <w:r w:rsidRPr="00F60725">
        <w:rPr>
          <w:bCs/>
          <w:sz w:val="22"/>
          <w:lang w:val="sv-SE" w:eastAsia="zh-CN" w:bidi="en-US"/>
        </w:rPr>
        <w:t>.</w:t>
      </w:r>
    </w:p>
    <w:p w14:paraId="7AC2ACB9" w14:textId="77777777" w:rsidR="00F60725" w:rsidRPr="00F60725" w:rsidRDefault="00F60725" w:rsidP="00573CFE">
      <w:pPr>
        <w:pStyle w:val="ListParagraph"/>
        <w:ind w:left="0" w:firstLine="720"/>
        <w:rPr>
          <w:bCs/>
          <w:sz w:val="22"/>
          <w:lang w:val="sv-SE" w:eastAsia="zh-CN" w:bidi="en-US"/>
        </w:rPr>
      </w:pPr>
      <w:r w:rsidRPr="00F60725">
        <w:rPr>
          <w:bCs/>
          <w:sz w:val="22"/>
          <w:lang w:val="sv-SE" w:eastAsia="zh-CN" w:bidi="en-US"/>
        </w:rPr>
        <w:t xml:space="preserve">Indikator </w:t>
      </w:r>
      <w:r w:rsidRPr="00F60725">
        <w:rPr>
          <w:bCs/>
          <w:i/>
          <w:iCs/>
          <w:sz w:val="22"/>
          <w:lang w:val="sv-SE" w:eastAsia="zh-CN" w:bidi="en-US"/>
        </w:rPr>
        <w:t xml:space="preserve">limits to growth </w:t>
      </w:r>
      <w:r w:rsidRPr="00F60725">
        <w:rPr>
          <w:bCs/>
          <w:sz w:val="22"/>
          <w:lang w:val="sv-SE" w:eastAsia="zh-CN" w:bidi="en-US"/>
        </w:rPr>
        <w:t>rata-rata persentase medapatkan hasil 78%</w:t>
      </w:r>
      <w:r w:rsidRPr="00F60725">
        <w:rPr>
          <w:bCs/>
          <w:sz w:val="22"/>
          <w:lang w:val="id-ID" w:eastAsia="zh-CN" w:bidi="en-US"/>
        </w:rPr>
        <w:t xml:space="preserve"> termasuk dalam kategori baik</w:t>
      </w:r>
      <w:r w:rsidRPr="00F60725">
        <w:rPr>
          <w:bCs/>
          <w:sz w:val="22"/>
          <w:lang w:val="sv-SE" w:eastAsia="zh-CN" w:bidi="en-US"/>
        </w:rPr>
        <w:t>, artinya sebagian besar mahasiswa calon guru biologi  sudah paham terkait keterbatasn bumi dalam menyediakan sumber daya alam</w:t>
      </w:r>
      <w:r w:rsidR="003D630C">
        <w:rPr>
          <w:bCs/>
          <w:sz w:val="22"/>
          <w:lang w:val="sv-SE" w:eastAsia="zh-CN" w:bidi="en-US"/>
        </w:rPr>
        <w:t xml:space="preserve"> </w:t>
      </w:r>
      <w:r w:rsidR="003D630C">
        <w:rPr>
          <w:bCs/>
          <w:sz w:val="22"/>
          <w:lang w:val="sv-SE" w:eastAsia="zh-CN" w:bidi="en-US"/>
        </w:rPr>
        <w:fldChar w:fldCharType="begin" w:fldLock="1"/>
      </w:r>
      <w:r w:rsidR="003D630C">
        <w:rPr>
          <w:bCs/>
          <w:sz w:val="22"/>
          <w:lang w:val="sv-SE" w:eastAsia="zh-CN" w:bidi="en-US"/>
        </w:rPr>
        <w:instrText>ADDIN CSL_CITATION {"citationItems":[{"id":"ITEM-1","itemData":{"DOI":"10.1088/1757-899X/1156/1/012002","ISBN":"1757-899X","ISSN":"1757-8981","abstract":"The Oldeman classification system is very useful in the classification of agricultural land for food crops in Indonesia using the element of rainfall. The criteria are based on the calculation of wet months (BB) and dry months (BK), respectively, with the limits taking into account the chance of rain, effective rain and water requirements for plants. With the Oldeman climate classification, a cropping pattern system can be determined in an area. Based on the research results obtained 4 types of climate in the South Tapanuli region, namely: D1, D2, E1, and E2. The wettest climate type in the Sipirok region is climate type D1 with 4-5 wet months and ,2 dry months. And those that are suitable for planting short-lived rice are 3 (three) harvests or short-lived rice is 2 (two) harvests and secondary crops 1 (sastu) harvests. The driest climate types in the East Angkola region are climate types E1 and E2 with the number of wet months ,3 and the number of dry months 6-7. What is suitable for planting short-lived lowland rice is 1 (one) harvest and secondary crops 2 (two) times, the second special harvest falls in the dry season. The topographical condition of an area greatly influences the climatic conditions of the area. With a good climate classification and suitable for rice plants without irrigation assistance, the climate types are D1 and D2, namely in Sipirok District, West Angkola District and a Small Part of Saipar Dolok Hole and Batang Angkola Districts. Meanwhile, the East Angkola sub-district can be planted with rice with the help of irrigation, especially in the dry season.","author":[{"dropping-particle":"","family":"Harahap","given":"Imelda Sari","non-dropping-particle":"","parse-names":false,"suffix":""},{"dropping-particle":"","family":"Matondang","given":"Irwan Zulfikri","non-dropping-particle":"","parse-names":false,"suffix":""},{"dropping-particle":"","family":"Suryanto","given":"","non-dropping-particle":"","parse-names":false,"suffix":""},{"dropping-particle":"","family":"Indah","given":"Erti Kumala","non-dropping-particle":"","parse-names":false,"suffix":""},{"dropping-particle":"","family":"Fitri","given":"Irmalia","non-dropping-particle":"","parse-names":false,"suffix":""}],"container-title":"IOP Conference Series: Materials Science and Engineering","id":"ITEM-1","issue":"1","issued":{"date-parts":[["2021","6","1"]]},"page":"012002","publisher":"IOP Publishing","title":"Mapping Climate Classification of Oldeman in Agricultural Resources Management in South Tapanuli District","type":"article-journal","volume":"1156"},"uris":["http://www.mendeley.com/documents/?uuid=bd7715b1-4722-4248-8849-ee9a2642f0c1"]}],"mendeley":{"formattedCitation":"(Harahap et al., 2021)","plainTextFormattedCitation":"(Harahap et al., 2021)"},"properties":{"noteIndex":0},"schema":"https://github.com/citation-style-language/schema/raw/master/csl-citation.json"}</w:instrText>
      </w:r>
      <w:r w:rsidR="003D630C">
        <w:rPr>
          <w:bCs/>
          <w:sz w:val="22"/>
          <w:lang w:val="sv-SE" w:eastAsia="zh-CN" w:bidi="en-US"/>
        </w:rPr>
        <w:fldChar w:fldCharType="separate"/>
      </w:r>
      <w:r w:rsidR="003D630C" w:rsidRPr="003D630C">
        <w:rPr>
          <w:bCs/>
          <w:noProof/>
          <w:sz w:val="22"/>
          <w:lang w:val="sv-SE" w:eastAsia="zh-CN" w:bidi="en-US"/>
        </w:rPr>
        <w:t>(Harahap et al., 2021)</w:t>
      </w:r>
      <w:r w:rsidR="003D630C">
        <w:rPr>
          <w:bCs/>
          <w:sz w:val="22"/>
          <w:lang w:val="sv-SE" w:eastAsia="zh-CN" w:bidi="en-US"/>
        </w:rPr>
        <w:fldChar w:fldCharType="end"/>
      </w:r>
      <w:r w:rsidRPr="00F60725">
        <w:rPr>
          <w:bCs/>
          <w:sz w:val="22"/>
          <w:lang w:val="sv-SE" w:eastAsia="zh-CN" w:bidi="en-US"/>
        </w:rPr>
        <w:t>.</w:t>
      </w:r>
    </w:p>
    <w:p w14:paraId="19693723" w14:textId="77777777" w:rsidR="00F60725" w:rsidRPr="00F60725" w:rsidRDefault="00F60725" w:rsidP="00573CFE">
      <w:pPr>
        <w:pStyle w:val="ListParagraph"/>
        <w:ind w:left="0" w:firstLine="720"/>
        <w:rPr>
          <w:bCs/>
          <w:sz w:val="22"/>
          <w:lang w:val="sv-SE" w:eastAsia="zh-CN" w:bidi="en-US"/>
        </w:rPr>
      </w:pPr>
      <w:r w:rsidRPr="00F60725">
        <w:rPr>
          <w:bCs/>
          <w:sz w:val="22"/>
          <w:lang w:val="sv-SE" w:eastAsia="zh-CN" w:bidi="en-US"/>
        </w:rPr>
        <w:t xml:space="preserve">Indikator </w:t>
      </w:r>
      <w:r w:rsidRPr="00F60725">
        <w:rPr>
          <w:bCs/>
          <w:i/>
          <w:iCs/>
          <w:sz w:val="22"/>
          <w:lang w:val="sv-SE" w:eastAsia="zh-CN" w:bidi="en-US"/>
        </w:rPr>
        <w:t xml:space="preserve">blance of nature </w:t>
      </w:r>
      <w:r w:rsidRPr="00F60725">
        <w:rPr>
          <w:bCs/>
          <w:sz w:val="22"/>
          <w:lang w:val="sv-SE" w:eastAsia="zh-CN" w:bidi="en-US"/>
        </w:rPr>
        <w:t>rata-rata persentase medapatkan hasil 62%</w:t>
      </w:r>
      <w:r w:rsidRPr="00F60725">
        <w:rPr>
          <w:bCs/>
          <w:sz w:val="22"/>
          <w:lang w:val="id-ID" w:eastAsia="zh-CN" w:bidi="en-US"/>
        </w:rPr>
        <w:t xml:space="preserve"> termasuk dalam kategori baik</w:t>
      </w:r>
      <w:r w:rsidRPr="00F60725">
        <w:rPr>
          <w:bCs/>
          <w:sz w:val="22"/>
          <w:lang w:val="sv-SE" w:eastAsia="zh-CN" w:bidi="en-US"/>
        </w:rPr>
        <w:t>, artinya lebih dari setengahnya mahasiswa calon guru biologi tidak berpotensi merusak alam di masa sekarang dan masa yang akan datang</w:t>
      </w:r>
      <w:r w:rsidR="00573CFE">
        <w:rPr>
          <w:bCs/>
          <w:sz w:val="22"/>
          <w:lang w:val="sv-SE" w:eastAsia="zh-CN" w:bidi="en-US"/>
        </w:rPr>
        <w:t xml:space="preserve"> </w:t>
      </w:r>
      <w:r w:rsidR="00573CFE">
        <w:rPr>
          <w:bCs/>
          <w:sz w:val="22"/>
          <w:lang w:val="sv-SE" w:eastAsia="zh-CN" w:bidi="en-US"/>
        </w:rPr>
        <w:fldChar w:fldCharType="begin" w:fldLock="1"/>
      </w:r>
      <w:r w:rsidR="00573CFE">
        <w:rPr>
          <w:bCs/>
          <w:sz w:val="22"/>
          <w:lang w:val="sv-SE" w:eastAsia="zh-CN" w:bidi="en-US"/>
        </w:rPr>
        <w:instrText>ADDIN CSL_CITATION {"citationItems":[{"id":"ITEM-1","itemData":{"DOI":"10.3390/ijerph17062034","ISSN":"1660-4601","abstract":"The aim of this review of reviews was to collate the latest evidence from systematic reviews about the maternal and child health outcomes of being exposed to tobacco and nicotine during pregnancy; the effectiveness of interventions designed to reduce these exposures, and barriers to and facilitators of smoking cessation during pregnancy. Two databases were searched to obtain systematic reviews published from 2010 to 2019. Pertinent data from 76 articles were summarized using a narrative synthesis (PROSPERO reference: CRD42018085896). Exposure to smoke or tobacco in other forms during pregnancy is associated with an increased risk of obstetric complications and adverse health outcomes for children exposed in-utero. Counselling interventions are modestly effective, while incentive-based interventions appear to substantially increase smoking cessation. Nicotine replacement therapy is effective during pregnancy but the evidence is not conclusive. Predictors and barriers to smoking cessation in pregnancy are also discussed. Smoking during pregnancy poses substantial risk to mother’s and child’s health. Psychosocial interventions and nicotine replacement therapy (NRT) appear to be effective in helping pregnant women quit smoking. Barriers to smoking cessation must be identified and steps taken to eradicate them in order to reduce smoking among pregnant women. More research is needed on smoking cessation medications and e-cigarettes.","author":[{"dropping-particle":"","family":"Gould","given":"Gillian S","non-dropping-particle":"","parse-names":false,"suffix":""},{"dropping-particle":"","family":"Havard","given":"Alys","non-dropping-particle":"","parse-names":false,"suffix":""},{"dropping-particle":"","family":"Lim","given":"Ling Li","non-dropping-particle":"","parse-names":false,"suffix":""},{"dropping-particle":"","family":"Kumar","given":"Ratika","non-dropping-particle":"","parse-names":false,"suffix":""}],"container-title":"International Journal of Environmental Research and Public Health","id":"ITEM-1","issue":"6","issued":{"date-parts":[["2020","3","19"]]},"page":"2034","publisher":"MDPI","title":"Exposure to Tobacco, Environmental Tobacco Smoke and Nicotine in Pregnancy: A Pragmatic Overview of Reviews of Maternal and Child Outcomes, Effectiveness of Interventions and Barriers and Facilitators to Quitting","type":"article-journal","volume":"17"},"uris":["http://www.mendeley.com/documents/?uuid=940128d1-b785-491e-afc5-20ec15084af7"]}],"mendeley":{"formattedCitation":"(Gould et al., 2020)","plainTextFormattedCitation":"(Gould et al., 2020)","previouslyFormattedCitation":"(Gould et al., 2020)"},"properties":{"noteIndex":0},"schema":"https://github.com/citation-style-language/schema/raw/master/csl-citation.json"}</w:instrText>
      </w:r>
      <w:r w:rsidR="00573CFE">
        <w:rPr>
          <w:bCs/>
          <w:sz w:val="22"/>
          <w:lang w:val="sv-SE" w:eastAsia="zh-CN" w:bidi="en-US"/>
        </w:rPr>
        <w:fldChar w:fldCharType="separate"/>
      </w:r>
      <w:r w:rsidR="00573CFE" w:rsidRPr="00573CFE">
        <w:rPr>
          <w:bCs/>
          <w:noProof/>
          <w:sz w:val="22"/>
          <w:lang w:val="sv-SE" w:eastAsia="zh-CN" w:bidi="en-US"/>
        </w:rPr>
        <w:t>(Gould et al., 2020)</w:t>
      </w:r>
      <w:r w:rsidR="00573CFE">
        <w:rPr>
          <w:bCs/>
          <w:sz w:val="22"/>
          <w:lang w:val="sv-SE" w:eastAsia="zh-CN" w:bidi="en-US"/>
        </w:rPr>
        <w:fldChar w:fldCharType="end"/>
      </w:r>
      <w:r w:rsidRPr="00F60725">
        <w:rPr>
          <w:bCs/>
          <w:sz w:val="22"/>
          <w:lang w:val="sv-SE" w:eastAsia="zh-CN" w:bidi="en-US"/>
        </w:rPr>
        <w:t xml:space="preserve">. </w:t>
      </w:r>
    </w:p>
    <w:p w14:paraId="7474EBFD" w14:textId="77777777" w:rsidR="00F60725" w:rsidRPr="00F60725" w:rsidRDefault="00F60725" w:rsidP="00573CFE">
      <w:pPr>
        <w:pStyle w:val="ListParagraph"/>
        <w:ind w:left="0" w:firstLine="720"/>
        <w:rPr>
          <w:bCs/>
          <w:sz w:val="22"/>
          <w:lang w:val="sv-SE" w:eastAsia="zh-CN" w:bidi="en-US"/>
        </w:rPr>
      </w:pPr>
      <w:r w:rsidRPr="00F60725">
        <w:rPr>
          <w:bCs/>
          <w:sz w:val="22"/>
          <w:lang w:val="sv-SE" w:eastAsia="zh-CN" w:bidi="en-US"/>
        </w:rPr>
        <w:t xml:space="preserve">Indikator </w:t>
      </w:r>
      <w:r w:rsidRPr="00F60725">
        <w:rPr>
          <w:bCs/>
          <w:i/>
          <w:iCs/>
          <w:sz w:val="22"/>
          <w:lang w:val="sv-SE" w:eastAsia="zh-CN" w:bidi="en-US"/>
        </w:rPr>
        <w:t xml:space="preserve">eco centris </w:t>
      </w:r>
      <w:r w:rsidRPr="00F60725">
        <w:rPr>
          <w:bCs/>
          <w:sz w:val="22"/>
          <w:lang w:val="sv-SE" w:eastAsia="zh-CN" w:bidi="en-US"/>
        </w:rPr>
        <w:t>rata-rata persentase medapatkan hasil 71%</w:t>
      </w:r>
      <w:r w:rsidRPr="00F60725">
        <w:rPr>
          <w:bCs/>
          <w:sz w:val="22"/>
          <w:lang w:val="id-ID" w:eastAsia="zh-CN" w:bidi="en-US"/>
        </w:rPr>
        <w:t xml:space="preserve"> termasuk dalam kategori baik</w:t>
      </w:r>
      <w:r w:rsidRPr="00F60725">
        <w:rPr>
          <w:bCs/>
          <w:sz w:val="22"/>
          <w:lang w:val="sv-SE" w:eastAsia="zh-CN" w:bidi="en-US"/>
        </w:rPr>
        <w:t xml:space="preserve">, artinya sebagin besar mahasiswa calon guru biologi  sudah memahami terkait kerusakan lingkungan yang sebagian besar di sebabkan oleh aktivitas manusia. </w:t>
      </w:r>
    </w:p>
    <w:p w14:paraId="448E448B" w14:textId="77777777" w:rsidR="00F60725" w:rsidRPr="00F60725" w:rsidRDefault="00F60725" w:rsidP="00F60725">
      <w:pPr>
        <w:pStyle w:val="ListParagraph"/>
        <w:rPr>
          <w:bCs/>
          <w:sz w:val="22"/>
          <w:lang w:val="sv-SE" w:eastAsia="zh-CN" w:bidi="en-US"/>
        </w:rPr>
      </w:pPr>
    </w:p>
    <w:p w14:paraId="20E8573F" w14:textId="77777777" w:rsidR="00F60725" w:rsidRPr="00475F4A" w:rsidRDefault="00F60725" w:rsidP="00573CFE">
      <w:pPr>
        <w:rPr>
          <w:b/>
          <w:bCs/>
          <w:sz w:val="22"/>
          <w:lang w:val="it-IT" w:eastAsia="zh-CN" w:bidi="en-US"/>
        </w:rPr>
      </w:pPr>
      <w:r w:rsidRPr="00475F4A">
        <w:rPr>
          <w:b/>
          <w:bCs/>
          <w:sz w:val="22"/>
          <w:lang w:val="it-IT" w:eastAsia="zh-CN" w:bidi="en-US"/>
        </w:rPr>
        <w:t>Perilaku Pro-Environmental</w:t>
      </w:r>
    </w:p>
    <w:p w14:paraId="0C67E20F" w14:textId="77777777" w:rsidR="00F60725" w:rsidRPr="00475F4A" w:rsidRDefault="00F60725" w:rsidP="00F60725">
      <w:pPr>
        <w:pStyle w:val="ListParagraph"/>
        <w:ind w:left="0" w:firstLine="720"/>
        <w:rPr>
          <w:bCs/>
          <w:sz w:val="22"/>
          <w:lang w:val="it-IT" w:eastAsia="zh-CN" w:bidi="en-US"/>
        </w:rPr>
      </w:pPr>
    </w:p>
    <w:p w14:paraId="08580895" w14:textId="77777777" w:rsidR="00F60725" w:rsidRPr="00475F4A" w:rsidRDefault="00F60725" w:rsidP="00573CFE">
      <w:pPr>
        <w:pStyle w:val="ListParagraph"/>
        <w:ind w:left="0"/>
        <w:jc w:val="center"/>
        <w:rPr>
          <w:b/>
          <w:bCs/>
          <w:sz w:val="22"/>
          <w:lang w:val="it-IT" w:eastAsia="zh-CN" w:bidi="en-US"/>
        </w:rPr>
      </w:pPr>
      <w:r w:rsidRPr="00475F4A">
        <w:rPr>
          <w:b/>
          <w:bCs/>
          <w:sz w:val="22"/>
          <w:lang w:val="it-IT" w:eastAsia="zh-CN" w:bidi="en-US"/>
        </w:rPr>
        <w:t>Tabel 2. Persentase perilaku Pro-Environmental</w:t>
      </w:r>
    </w:p>
    <w:p w14:paraId="344DF945" w14:textId="77777777" w:rsidR="00F60725" w:rsidRPr="00475F4A" w:rsidRDefault="00F60725" w:rsidP="00F60725">
      <w:pPr>
        <w:pStyle w:val="ListParagraph"/>
        <w:ind w:left="0" w:firstLine="720"/>
        <w:rPr>
          <w:bCs/>
          <w:sz w:val="22"/>
          <w:lang w:val="it-IT" w:eastAsia="zh-CN" w:bidi="en-US"/>
        </w:rPr>
      </w:pPr>
    </w:p>
    <w:tbl>
      <w:tblPr>
        <w:tblW w:w="3281" w:type="dxa"/>
        <w:jc w:val="center"/>
        <w:tblBorders>
          <w:top w:val="single" w:sz="4" w:space="0" w:color="auto"/>
          <w:bottom w:val="single" w:sz="4" w:space="0" w:color="auto"/>
        </w:tblBorders>
        <w:tblLook w:val="04A0" w:firstRow="1" w:lastRow="0" w:firstColumn="1" w:lastColumn="0" w:noHBand="0" w:noVBand="1"/>
      </w:tblPr>
      <w:tblGrid>
        <w:gridCol w:w="2092"/>
        <w:gridCol w:w="3080"/>
        <w:gridCol w:w="2487"/>
      </w:tblGrid>
      <w:tr w:rsidR="00F60725" w:rsidRPr="00F60725" w14:paraId="4F48CFD7" w14:textId="77777777" w:rsidTr="00573CFE">
        <w:trPr>
          <w:trHeight w:val="286"/>
          <w:jc w:val="center"/>
        </w:trPr>
        <w:tc>
          <w:tcPr>
            <w:tcW w:w="0" w:type="auto"/>
            <w:tcBorders>
              <w:top w:val="single" w:sz="4" w:space="0" w:color="auto"/>
              <w:bottom w:val="single" w:sz="4" w:space="0" w:color="auto"/>
            </w:tcBorders>
            <w:shd w:val="clear" w:color="auto" w:fill="auto"/>
            <w:noWrap/>
            <w:vAlign w:val="center"/>
            <w:hideMark/>
          </w:tcPr>
          <w:p w14:paraId="2E60AE4C" w14:textId="77777777" w:rsidR="00F60725" w:rsidRPr="00573CFE" w:rsidRDefault="00F60725" w:rsidP="00573CFE">
            <w:pPr>
              <w:rPr>
                <w:b/>
                <w:bCs/>
                <w:sz w:val="22"/>
                <w:lang w:val="en-US" w:eastAsia="zh-CN" w:bidi="en-US"/>
              </w:rPr>
            </w:pPr>
            <w:proofErr w:type="spellStart"/>
            <w:r w:rsidRPr="00573CFE">
              <w:rPr>
                <w:b/>
                <w:bCs/>
                <w:sz w:val="22"/>
                <w:lang w:val="en-US" w:eastAsia="zh-CN" w:bidi="en-US"/>
              </w:rPr>
              <w:t>Indikator</w:t>
            </w:r>
            <w:proofErr w:type="spellEnd"/>
          </w:p>
        </w:tc>
        <w:tc>
          <w:tcPr>
            <w:tcW w:w="0" w:type="auto"/>
            <w:tcBorders>
              <w:top w:val="single" w:sz="4" w:space="0" w:color="auto"/>
              <w:bottom w:val="single" w:sz="4" w:space="0" w:color="auto"/>
            </w:tcBorders>
            <w:shd w:val="clear" w:color="auto" w:fill="auto"/>
            <w:noWrap/>
            <w:vAlign w:val="center"/>
            <w:hideMark/>
          </w:tcPr>
          <w:p w14:paraId="4E0B7878" w14:textId="77777777" w:rsidR="00F60725" w:rsidRPr="00F60725" w:rsidRDefault="00F60725" w:rsidP="00F60725">
            <w:pPr>
              <w:pStyle w:val="ListParagraph"/>
              <w:ind w:firstLine="720"/>
              <w:rPr>
                <w:b/>
                <w:bCs/>
                <w:sz w:val="22"/>
                <w:lang w:val="en-US" w:eastAsia="zh-CN" w:bidi="en-US"/>
              </w:rPr>
            </w:pPr>
            <w:r w:rsidRPr="00F60725">
              <w:rPr>
                <w:b/>
                <w:bCs/>
                <w:sz w:val="22"/>
                <w:lang w:val="en-US" w:eastAsia="zh-CN" w:bidi="en-US"/>
              </w:rPr>
              <w:t>Nilai Rata-rata</w:t>
            </w:r>
          </w:p>
        </w:tc>
        <w:tc>
          <w:tcPr>
            <w:tcW w:w="0" w:type="auto"/>
            <w:tcBorders>
              <w:top w:val="single" w:sz="4" w:space="0" w:color="auto"/>
              <w:bottom w:val="single" w:sz="4" w:space="0" w:color="auto"/>
            </w:tcBorders>
            <w:shd w:val="clear" w:color="auto" w:fill="auto"/>
            <w:noWrap/>
            <w:vAlign w:val="center"/>
            <w:hideMark/>
          </w:tcPr>
          <w:p w14:paraId="29196BC9" w14:textId="77777777" w:rsidR="00F60725" w:rsidRPr="00F60725" w:rsidRDefault="00F60725" w:rsidP="00F60725">
            <w:pPr>
              <w:pStyle w:val="ListParagraph"/>
              <w:ind w:firstLine="720"/>
              <w:rPr>
                <w:b/>
                <w:bCs/>
                <w:sz w:val="22"/>
                <w:lang w:val="en-US" w:eastAsia="zh-CN" w:bidi="en-US"/>
              </w:rPr>
            </w:pPr>
            <w:proofErr w:type="spellStart"/>
            <w:r w:rsidRPr="00F60725">
              <w:rPr>
                <w:b/>
                <w:bCs/>
                <w:sz w:val="22"/>
                <w:lang w:val="en-US" w:eastAsia="zh-CN" w:bidi="en-US"/>
              </w:rPr>
              <w:t>Kategori</w:t>
            </w:r>
            <w:proofErr w:type="spellEnd"/>
          </w:p>
        </w:tc>
      </w:tr>
      <w:tr w:rsidR="00F60725" w:rsidRPr="00F60725" w14:paraId="6DEC08D2" w14:textId="77777777" w:rsidTr="00573CFE">
        <w:trPr>
          <w:trHeight w:val="286"/>
          <w:jc w:val="center"/>
        </w:trPr>
        <w:tc>
          <w:tcPr>
            <w:tcW w:w="0" w:type="auto"/>
            <w:tcBorders>
              <w:top w:val="single" w:sz="4" w:space="0" w:color="auto"/>
            </w:tcBorders>
            <w:shd w:val="clear" w:color="auto" w:fill="auto"/>
            <w:noWrap/>
            <w:vAlign w:val="center"/>
            <w:hideMark/>
          </w:tcPr>
          <w:p w14:paraId="375A526F" w14:textId="77777777" w:rsidR="00F60725" w:rsidRPr="00573CFE" w:rsidRDefault="00F60725" w:rsidP="00573CFE">
            <w:pPr>
              <w:rPr>
                <w:bCs/>
                <w:sz w:val="22"/>
                <w:lang w:val="en-US" w:eastAsia="zh-CN" w:bidi="en-US"/>
              </w:rPr>
            </w:pPr>
            <w:proofErr w:type="spellStart"/>
            <w:r w:rsidRPr="00573CFE">
              <w:rPr>
                <w:bCs/>
                <w:sz w:val="22"/>
                <w:lang w:val="en-US" w:eastAsia="zh-CN" w:bidi="en-US"/>
              </w:rPr>
              <w:t>Perilaku</w:t>
            </w:r>
            <w:proofErr w:type="spellEnd"/>
            <w:r w:rsidRPr="00573CFE">
              <w:rPr>
                <w:bCs/>
                <w:sz w:val="22"/>
                <w:lang w:val="en-US" w:eastAsia="zh-CN" w:bidi="en-US"/>
              </w:rPr>
              <w:t xml:space="preserve"> </w:t>
            </w:r>
            <w:proofErr w:type="spellStart"/>
            <w:r w:rsidRPr="00573CFE">
              <w:rPr>
                <w:bCs/>
                <w:sz w:val="22"/>
                <w:lang w:val="en-US" w:eastAsia="zh-CN" w:bidi="en-US"/>
              </w:rPr>
              <w:t>Berperguian</w:t>
            </w:r>
            <w:proofErr w:type="spellEnd"/>
          </w:p>
        </w:tc>
        <w:tc>
          <w:tcPr>
            <w:tcW w:w="0" w:type="auto"/>
            <w:tcBorders>
              <w:top w:val="single" w:sz="4" w:space="0" w:color="auto"/>
            </w:tcBorders>
            <w:shd w:val="clear" w:color="auto" w:fill="auto"/>
            <w:noWrap/>
            <w:vAlign w:val="center"/>
            <w:hideMark/>
          </w:tcPr>
          <w:p w14:paraId="1F19324F"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67%</w:t>
            </w:r>
          </w:p>
        </w:tc>
        <w:tc>
          <w:tcPr>
            <w:tcW w:w="0" w:type="auto"/>
            <w:tcBorders>
              <w:top w:val="single" w:sz="4" w:space="0" w:color="auto"/>
            </w:tcBorders>
            <w:shd w:val="clear" w:color="auto" w:fill="auto"/>
            <w:noWrap/>
            <w:vAlign w:val="center"/>
            <w:hideMark/>
          </w:tcPr>
          <w:p w14:paraId="24ABCD34"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Baik</w:t>
            </w:r>
          </w:p>
        </w:tc>
      </w:tr>
      <w:tr w:rsidR="00F60725" w:rsidRPr="00F60725" w14:paraId="2FEA834F" w14:textId="77777777" w:rsidTr="00573CFE">
        <w:trPr>
          <w:trHeight w:val="286"/>
          <w:jc w:val="center"/>
        </w:trPr>
        <w:tc>
          <w:tcPr>
            <w:tcW w:w="0" w:type="auto"/>
            <w:shd w:val="clear" w:color="auto" w:fill="auto"/>
            <w:noWrap/>
            <w:vAlign w:val="center"/>
            <w:hideMark/>
          </w:tcPr>
          <w:p w14:paraId="131B64B1" w14:textId="77777777" w:rsidR="00F60725" w:rsidRPr="00573CFE" w:rsidRDefault="00F60725" w:rsidP="00573CFE">
            <w:pPr>
              <w:rPr>
                <w:bCs/>
                <w:sz w:val="22"/>
                <w:lang w:val="en-US" w:eastAsia="zh-CN" w:bidi="en-US"/>
              </w:rPr>
            </w:pPr>
            <w:proofErr w:type="spellStart"/>
            <w:r w:rsidRPr="00573CFE">
              <w:rPr>
                <w:bCs/>
                <w:sz w:val="22"/>
                <w:lang w:val="en-US" w:eastAsia="zh-CN" w:bidi="en-US"/>
              </w:rPr>
              <w:t>Perilaku</w:t>
            </w:r>
            <w:proofErr w:type="spellEnd"/>
            <w:r w:rsidRPr="00573CFE">
              <w:rPr>
                <w:bCs/>
                <w:sz w:val="22"/>
                <w:lang w:val="en-US" w:eastAsia="zh-CN" w:bidi="en-US"/>
              </w:rPr>
              <w:t xml:space="preserve"> </w:t>
            </w:r>
            <w:proofErr w:type="spellStart"/>
            <w:r w:rsidRPr="00573CFE">
              <w:rPr>
                <w:bCs/>
                <w:sz w:val="22"/>
                <w:lang w:val="en-US" w:eastAsia="zh-CN" w:bidi="en-US"/>
              </w:rPr>
              <w:t>Pembelian</w:t>
            </w:r>
            <w:proofErr w:type="spellEnd"/>
          </w:p>
        </w:tc>
        <w:tc>
          <w:tcPr>
            <w:tcW w:w="0" w:type="auto"/>
            <w:shd w:val="clear" w:color="auto" w:fill="auto"/>
            <w:noWrap/>
            <w:vAlign w:val="center"/>
            <w:hideMark/>
          </w:tcPr>
          <w:p w14:paraId="1CF28C48"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68%</w:t>
            </w:r>
          </w:p>
        </w:tc>
        <w:tc>
          <w:tcPr>
            <w:tcW w:w="0" w:type="auto"/>
            <w:shd w:val="clear" w:color="auto" w:fill="auto"/>
            <w:noWrap/>
            <w:vAlign w:val="center"/>
            <w:hideMark/>
          </w:tcPr>
          <w:p w14:paraId="1FFC5F8E"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Baik</w:t>
            </w:r>
          </w:p>
        </w:tc>
      </w:tr>
      <w:tr w:rsidR="00F60725" w:rsidRPr="00F60725" w14:paraId="31788D97" w14:textId="77777777" w:rsidTr="00573CFE">
        <w:trPr>
          <w:trHeight w:val="286"/>
          <w:jc w:val="center"/>
        </w:trPr>
        <w:tc>
          <w:tcPr>
            <w:tcW w:w="0" w:type="auto"/>
            <w:shd w:val="clear" w:color="auto" w:fill="auto"/>
            <w:noWrap/>
            <w:vAlign w:val="center"/>
            <w:hideMark/>
          </w:tcPr>
          <w:p w14:paraId="52BC346E" w14:textId="77777777" w:rsidR="00F60725" w:rsidRPr="00573CFE" w:rsidRDefault="00F60725" w:rsidP="00573CFE">
            <w:pPr>
              <w:rPr>
                <w:bCs/>
                <w:sz w:val="22"/>
                <w:lang w:val="en-US" w:eastAsia="zh-CN" w:bidi="en-US"/>
              </w:rPr>
            </w:pPr>
            <w:proofErr w:type="spellStart"/>
            <w:r w:rsidRPr="00573CFE">
              <w:rPr>
                <w:bCs/>
                <w:sz w:val="22"/>
                <w:lang w:val="en-US" w:eastAsia="zh-CN" w:bidi="en-US"/>
              </w:rPr>
              <w:t>Perilaku</w:t>
            </w:r>
            <w:proofErr w:type="spellEnd"/>
            <w:r w:rsidRPr="00573CFE">
              <w:rPr>
                <w:bCs/>
                <w:sz w:val="22"/>
                <w:lang w:val="en-US" w:eastAsia="zh-CN" w:bidi="en-US"/>
              </w:rPr>
              <w:t xml:space="preserve"> </w:t>
            </w:r>
            <w:proofErr w:type="spellStart"/>
            <w:r w:rsidRPr="00573CFE">
              <w:rPr>
                <w:bCs/>
                <w:sz w:val="22"/>
                <w:lang w:val="en-US" w:eastAsia="zh-CN" w:bidi="en-US"/>
              </w:rPr>
              <w:t>Sehari-hari</w:t>
            </w:r>
            <w:proofErr w:type="spellEnd"/>
          </w:p>
        </w:tc>
        <w:tc>
          <w:tcPr>
            <w:tcW w:w="0" w:type="auto"/>
            <w:shd w:val="clear" w:color="auto" w:fill="auto"/>
            <w:noWrap/>
            <w:vAlign w:val="center"/>
            <w:hideMark/>
          </w:tcPr>
          <w:p w14:paraId="19344BC9"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68%</w:t>
            </w:r>
          </w:p>
        </w:tc>
        <w:tc>
          <w:tcPr>
            <w:tcW w:w="0" w:type="auto"/>
            <w:shd w:val="clear" w:color="auto" w:fill="auto"/>
            <w:noWrap/>
            <w:vAlign w:val="center"/>
            <w:hideMark/>
          </w:tcPr>
          <w:p w14:paraId="064C201C" w14:textId="77777777" w:rsidR="00F60725" w:rsidRPr="00F60725" w:rsidRDefault="00F60725" w:rsidP="00F60725">
            <w:pPr>
              <w:pStyle w:val="ListParagraph"/>
              <w:ind w:firstLine="720"/>
              <w:rPr>
                <w:bCs/>
                <w:sz w:val="22"/>
                <w:lang w:val="en-US" w:eastAsia="zh-CN" w:bidi="en-US"/>
              </w:rPr>
            </w:pPr>
            <w:r w:rsidRPr="00F60725">
              <w:rPr>
                <w:bCs/>
                <w:sz w:val="22"/>
                <w:lang w:val="en-US" w:eastAsia="zh-CN" w:bidi="en-US"/>
              </w:rPr>
              <w:t>Baik</w:t>
            </w:r>
          </w:p>
        </w:tc>
      </w:tr>
    </w:tbl>
    <w:p w14:paraId="78DCB544" w14:textId="77777777" w:rsidR="00F60725" w:rsidRPr="00F60725" w:rsidRDefault="00F60725" w:rsidP="00F60725">
      <w:pPr>
        <w:pStyle w:val="ListParagraph"/>
        <w:ind w:left="0" w:firstLine="720"/>
        <w:rPr>
          <w:bCs/>
          <w:sz w:val="22"/>
          <w:lang w:val="en-US" w:eastAsia="zh-CN" w:bidi="en-US"/>
        </w:rPr>
      </w:pPr>
    </w:p>
    <w:p w14:paraId="4622E29F" w14:textId="77777777" w:rsidR="00F60725" w:rsidRPr="00F60725" w:rsidRDefault="00F60725" w:rsidP="00F60725">
      <w:pPr>
        <w:pStyle w:val="ListParagraph"/>
        <w:ind w:left="0" w:firstLine="720"/>
        <w:rPr>
          <w:bCs/>
          <w:sz w:val="22"/>
          <w:lang w:val="sv-SE" w:eastAsia="zh-CN" w:bidi="en-US"/>
        </w:rPr>
      </w:pPr>
      <w:r w:rsidRPr="00F60725">
        <w:rPr>
          <w:bCs/>
          <w:sz w:val="22"/>
          <w:lang w:val="sv-SE" w:eastAsia="zh-CN" w:bidi="en-US"/>
        </w:rPr>
        <w:t>Di rangkum dengan diagram sebagai berikut :</w:t>
      </w:r>
    </w:p>
    <w:p w14:paraId="435CBD69" w14:textId="77777777" w:rsidR="00F60725" w:rsidRPr="00F60725" w:rsidRDefault="00F60725" w:rsidP="00F60725">
      <w:pPr>
        <w:pStyle w:val="ListParagraph"/>
        <w:ind w:firstLine="720"/>
        <w:rPr>
          <w:bCs/>
          <w:sz w:val="22"/>
          <w:lang w:val="sv-SE" w:eastAsia="zh-CN" w:bidi="en-US"/>
        </w:rPr>
      </w:pPr>
    </w:p>
    <w:p w14:paraId="57DB4234" w14:textId="77777777" w:rsidR="00F60725" w:rsidRPr="00F60725" w:rsidRDefault="00F60725" w:rsidP="00573CFE">
      <w:pPr>
        <w:pStyle w:val="ListParagraph"/>
        <w:ind w:hanging="720"/>
        <w:jc w:val="center"/>
        <w:rPr>
          <w:bCs/>
          <w:sz w:val="22"/>
          <w:lang w:val="en-US" w:eastAsia="zh-CN" w:bidi="en-US"/>
        </w:rPr>
      </w:pPr>
      <w:r w:rsidRPr="00F60725">
        <w:rPr>
          <w:bCs/>
          <w:noProof/>
          <w:sz w:val="22"/>
          <w:lang w:val="en-US"/>
        </w:rPr>
        <w:drawing>
          <wp:inline distT="0" distB="0" distL="0" distR="0" wp14:anchorId="11BBDA08" wp14:editId="6EA8147C">
            <wp:extent cx="2896235" cy="1742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6235" cy="1742440"/>
                    </a:xfrm>
                    <a:prstGeom prst="rect">
                      <a:avLst/>
                    </a:prstGeom>
                    <a:noFill/>
                  </pic:spPr>
                </pic:pic>
              </a:graphicData>
            </a:graphic>
          </wp:inline>
        </w:drawing>
      </w:r>
    </w:p>
    <w:p w14:paraId="1187B5A9" w14:textId="77777777" w:rsidR="00F60725" w:rsidRPr="00F60725" w:rsidRDefault="00F60725" w:rsidP="00F60725">
      <w:pPr>
        <w:pStyle w:val="ListParagraph"/>
        <w:ind w:firstLine="720"/>
        <w:rPr>
          <w:bCs/>
          <w:sz w:val="22"/>
          <w:lang w:val="en-US" w:eastAsia="zh-CN" w:bidi="en-US"/>
        </w:rPr>
      </w:pPr>
    </w:p>
    <w:p w14:paraId="1E50D609" w14:textId="77777777" w:rsidR="00F60725" w:rsidRPr="00573CFE" w:rsidRDefault="00F60725" w:rsidP="00573CFE">
      <w:pPr>
        <w:pStyle w:val="ListParagraph"/>
        <w:ind w:hanging="720"/>
        <w:jc w:val="center"/>
        <w:rPr>
          <w:b/>
          <w:bCs/>
          <w:sz w:val="22"/>
          <w:lang w:val="sv-SE" w:eastAsia="zh-CN" w:bidi="en-US"/>
        </w:rPr>
      </w:pPr>
      <w:r w:rsidRPr="00573CFE">
        <w:rPr>
          <w:b/>
          <w:bCs/>
          <w:sz w:val="22"/>
          <w:lang w:val="sv-SE" w:eastAsia="zh-CN" w:bidi="en-US"/>
        </w:rPr>
        <w:t>Gambar 2. Diagram Batang indikator Perilaku Pro-environmental</w:t>
      </w:r>
    </w:p>
    <w:p w14:paraId="1E2FCF3E" w14:textId="77777777" w:rsidR="00F60725" w:rsidRPr="00F60725" w:rsidRDefault="00F60725" w:rsidP="00F60725">
      <w:pPr>
        <w:pStyle w:val="ListParagraph"/>
        <w:ind w:firstLine="720"/>
        <w:rPr>
          <w:bCs/>
          <w:sz w:val="22"/>
          <w:lang w:val="sv-SE" w:eastAsia="zh-CN" w:bidi="en-US"/>
        </w:rPr>
      </w:pPr>
    </w:p>
    <w:p w14:paraId="2B2E4B4D" w14:textId="77777777" w:rsidR="00F60725" w:rsidRPr="00F60725" w:rsidRDefault="00F60725" w:rsidP="00573CFE">
      <w:pPr>
        <w:pStyle w:val="ListParagraph"/>
        <w:ind w:left="0" w:firstLine="709"/>
        <w:rPr>
          <w:bCs/>
          <w:sz w:val="22"/>
          <w:lang w:val="sv-SE" w:eastAsia="zh-CN" w:bidi="en-US"/>
        </w:rPr>
      </w:pPr>
      <w:r w:rsidRPr="00F60725">
        <w:rPr>
          <w:bCs/>
          <w:sz w:val="22"/>
          <w:lang w:val="sv-SE" w:eastAsia="zh-CN" w:bidi="en-US"/>
        </w:rPr>
        <w:t>Berdasarkan hasil analisis indikator perilaku pro lingkungan sebagai berikut:</w:t>
      </w:r>
    </w:p>
    <w:p w14:paraId="2A0B9148" w14:textId="77777777" w:rsidR="00F60725" w:rsidRPr="00F60725" w:rsidRDefault="00F60725" w:rsidP="00573CFE">
      <w:pPr>
        <w:pStyle w:val="ListParagraph"/>
        <w:ind w:left="0" w:firstLine="709"/>
        <w:rPr>
          <w:bCs/>
          <w:sz w:val="22"/>
          <w:lang w:val="sv-SE" w:eastAsia="zh-CN" w:bidi="en-US"/>
        </w:rPr>
      </w:pPr>
      <w:r w:rsidRPr="00F60725">
        <w:rPr>
          <w:bCs/>
          <w:sz w:val="22"/>
          <w:lang w:val="sv-SE" w:eastAsia="zh-CN" w:bidi="en-US"/>
        </w:rPr>
        <w:t>Indikator perilaku pembelian rata-rata persentase medapatkan hasil 67%</w:t>
      </w:r>
      <w:r w:rsidRPr="00F60725">
        <w:rPr>
          <w:bCs/>
          <w:sz w:val="22"/>
          <w:lang w:val="id-ID" w:eastAsia="zh-CN" w:bidi="en-US"/>
        </w:rPr>
        <w:t xml:space="preserve"> termasuk dalam kategori baik</w:t>
      </w:r>
      <w:r w:rsidRPr="00F60725">
        <w:rPr>
          <w:bCs/>
          <w:sz w:val="22"/>
          <w:lang w:val="sv-SE" w:eastAsia="zh-CN" w:bidi="en-US"/>
        </w:rPr>
        <w:t>, artinya lebih dari setengahnya mahasiswa calon guru biologi Fkip sudah berpotensi mengururangi transportasi pribadi dalam berpergian.</w:t>
      </w:r>
    </w:p>
    <w:p w14:paraId="18D13580" w14:textId="77777777" w:rsidR="00F60725" w:rsidRPr="00F60725" w:rsidRDefault="00F60725" w:rsidP="00573CFE">
      <w:pPr>
        <w:pStyle w:val="ListParagraph"/>
        <w:ind w:left="0" w:firstLine="709"/>
        <w:rPr>
          <w:bCs/>
          <w:sz w:val="22"/>
          <w:lang w:val="sv-SE" w:eastAsia="zh-CN" w:bidi="en-US"/>
        </w:rPr>
      </w:pPr>
      <w:r w:rsidRPr="00F60725">
        <w:rPr>
          <w:bCs/>
          <w:sz w:val="22"/>
          <w:lang w:val="sv-SE" w:eastAsia="zh-CN" w:bidi="en-US"/>
        </w:rPr>
        <w:t>Indikator perilaku pembelian rata-rata persentase mendapatkan hasil 68%</w:t>
      </w:r>
      <w:r w:rsidRPr="00F60725">
        <w:rPr>
          <w:bCs/>
          <w:sz w:val="22"/>
          <w:lang w:val="id-ID" w:eastAsia="zh-CN" w:bidi="en-US"/>
        </w:rPr>
        <w:t xml:space="preserve"> termasuk dalam kategori baik</w:t>
      </w:r>
      <w:r w:rsidRPr="00F60725">
        <w:rPr>
          <w:bCs/>
          <w:sz w:val="22"/>
          <w:lang w:val="sv-SE" w:eastAsia="zh-CN" w:bidi="en-US"/>
        </w:rPr>
        <w:t>, artinya lebih dari setengah mahasiswa calon guru pendidikan biologi sudah berpotensi menjadi konsumen yang dapat memilah dan memilih bahan atau produk tidak menjadi sampah yang sulit terurai</w:t>
      </w:r>
      <w:r w:rsidR="00573CFE">
        <w:rPr>
          <w:bCs/>
          <w:sz w:val="22"/>
          <w:lang w:val="sv-SE" w:eastAsia="zh-CN" w:bidi="en-US"/>
        </w:rPr>
        <w:t xml:space="preserve"> </w:t>
      </w:r>
      <w:r w:rsidR="00573CFE">
        <w:rPr>
          <w:bCs/>
          <w:sz w:val="22"/>
          <w:lang w:val="sv-SE" w:eastAsia="zh-CN" w:bidi="en-US"/>
        </w:rPr>
        <w:fldChar w:fldCharType="begin" w:fldLock="1"/>
      </w:r>
      <w:r w:rsidR="00573CFE">
        <w:rPr>
          <w:bCs/>
          <w:sz w:val="22"/>
          <w:lang w:val="sv-SE" w:eastAsia="zh-CN" w:bidi="en-US"/>
        </w:rPr>
        <w:instrText>ADDIN CSL_CITATION {"citationItems":[{"id":"ITEM-1","itemData":{"ISSN":"1735-5249","author":[{"dropping-particle":"","family":"Hassanzad","given":"Maryam","non-dropping-particle":"","parse-names":false,"suffix":""},{"dropping-particle":"","family":"Khalilzadeh","given":"Soheila","non-dropping-particle":"","parse-names":false,"suffix":""},{"dropping-particle":"","family":"Nobari","given":"Shabnam Eslampanah","non-dropping-particle":"","parse-names":false,"suffix":""},{"dropping-particle":"","family":"Bloursaz","given":"Mohammadreza","non-dropping-particle":"","parse-names":false,"suffix":""},{"dropping-particle":"","family":"Sharifi","given":"Hooman","non-dropping-particle":"","parse-names":false,"suffix":""},{"dropping-particle":"","family":"Mohajerani","given":"Seyed Amir","non-dropping-particle":"","parse-names":false,"suffix":""},{"dropping-particle":"","family":"Nejad","given":"Sabereh Tashayoie","non-dropping-particle":"","parse-names":false,"suffix":""},{"dropping-particle":"","family":"Velayati","given":"Ali Akbar","non-dropping-particle":"","parse-names":false,"suffix":""}],"container-title":"Iranian Journal of Allergy, Asthma and Immunology","id":"ITEM-1","issued":{"date-parts":[["2015"]]},"page":"67-73","title":"Cotinine level is associated with asthma severity in passive smoker children","type":"article-journal"},"uris":["http://www.mendeley.com/documents/?uuid=f4f9fd04-339a-4308-8594-59b143932eb9"]}],"mendeley":{"formattedCitation":"(Hassanzad et al., 2015)","plainTextFormattedCitation":"(Hassanzad et al., 2015)","previouslyFormattedCitation":"(Hassanzad et al., 2015)"},"properties":{"noteIndex":0},"schema":"https://github.com/citation-style-language/schema/raw/master/csl-citation.json"}</w:instrText>
      </w:r>
      <w:r w:rsidR="00573CFE">
        <w:rPr>
          <w:bCs/>
          <w:sz w:val="22"/>
          <w:lang w:val="sv-SE" w:eastAsia="zh-CN" w:bidi="en-US"/>
        </w:rPr>
        <w:fldChar w:fldCharType="separate"/>
      </w:r>
      <w:r w:rsidR="00573CFE" w:rsidRPr="00573CFE">
        <w:rPr>
          <w:bCs/>
          <w:noProof/>
          <w:sz w:val="22"/>
          <w:lang w:val="sv-SE" w:eastAsia="zh-CN" w:bidi="en-US"/>
        </w:rPr>
        <w:t>(Hassanzad et al., 2015)</w:t>
      </w:r>
      <w:r w:rsidR="00573CFE">
        <w:rPr>
          <w:bCs/>
          <w:sz w:val="22"/>
          <w:lang w:val="sv-SE" w:eastAsia="zh-CN" w:bidi="en-US"/>
        </w:rPr>
        <w:fldChar w:fldCharType="end"/>
      </w:r>
      <w:r w:rsidRPr="00F60725">
        <w:rPr>
          <w:bCs/>
          <w:sz w:val="22"/>
          <w:lang w:val="sv-SE" w:eastAsia="zh-CN" w:bidi="en-US"/>
        </w:rPr>
        <w:t>.</w:t>
      </w:r>
    </w:p>
    <w:p w14:paraId="2CFE27C6" w14:textId="77777777" w:rsidR="00F60725" w:rsidRPr="00F60725" w:rsidRDefault="00F60725" w:rsidP="00573CFE">
      <w:pPr>
        <w:pStyle w:val="ListParagraph"/>
        <w:ind w:left="0" w:firstLine="709"/>
        <w:rPr>
          <w:bCs/>
          <w:sz w:val="22"/>
          <w:lang w:val="sv-SE" w:eastAsia="zh-CN" w:bidi="en-US"/>
        </w:rPr>
      </w:pPr>
      <w:r w:rsidRPr="00F60725">
        <w:rPr>
          <w:bCs/>
          <w:sz w:val="22"/>
          <w:lang w:val="sv-SE" w:eastAsia="zh-CN" w:bidi="en-US"/>
        </w:rPr>
        <w:t>Indikator perilaku sehari-hari rata-rata persentase medapatkan hasil 68%</w:t>
      </w:r>
      <w:r w:rsidRPr="00F60725">
        <w:rPr>
          <w:bCs/>
          <w:sz w:val="22"/>
          <w:lang w:val="id-ID" w:eastAsia="zh-CN" w:bidi="en-US"/>
        </w:rPr>
        <w:t xml:space="preserve"> termasuk dalam kategori baik</w:t>
      </w:r>
      <w:r w:rsidRPr="00F60725">
        <w:rPr>
          <w:bCs/>
          <w:sz w:val="22"/>
          <w:lang w:val="sv-SE" w:eastAsia="zh-CN" w:bidi="en-US"/>
        </w:rPr>
        <w:t>, artinya lebih dari setengahnya mahasiswa calon guru biologi berpotensi dalam mengurangi aktivitas menjaga lingkungan.</w:t>
      </w:r>
    </w:p>
    <w:p w14:paraId="2D489A37" w14:textId="77777777" w:rsidR="00F60725" w:rsidRPr="00F60725" w:rsidRDefault="00F60725" w:rsidP="00573CFE">
      <w:pPr>
        <w:pStyle w:val="ListParagraph"/>
        <w:numPr>
          <w:ilvl w:val="0"/>
          <w:numId w:val="11"/>
        </w:numPr>
        <w:ind w:left="284" w:hanging="284"/>
        <w:rPr>
          <w:bCs/>
          <w:sz w:val="22"/>
          <w:lang w:val="en-US" w:eastAsia="zh-CN" w:bidi="en-US"/>
        </w:rPr>
      </w:pPr>
      <w:proofErr w:type="spellStart"/>
      <w:r w:rsidRPr="00F60725">
        <w:rPr>
          <w:bCs/>
          <w:sz w:val="22"/>
          <w:lang w:val="en-US" w:eastAsia="zh-CN" w:bidi="en-US"/>
        </w:rPr>
        <w:t>Tahap</w:t>
      </w:r>
      <w:proofErr w:type="spellEnd"/>
      <w:r w:rsidRPr="00F60725">
        <w:rPr>
          <w:bCs/>
          <w:sz w:val="22"/>
          <w:lang w:val="en-US" w:eastAsia="zh-CN" w:bidi="en-US"/>
        </w:rPr>
        <w:t xml:space="preserve"> </w:t>
      </w:r>
      <w:proofErr w:type="spellStart"/>
      <w:r w:rsidRPr="00F60725">
        <w:rPr>
          <w:bCs/>
          <w:sz w:val="22"/>
          <w:lang w:val="en-US" w:eastAsia="zh-CN" w:bidi="en-US"/>
        </w:rPr>
        <w:t>Pra</w:t>
      </w:r>
      <w:proofErr w:type="spellEnd"/>
      <w:r w:rsidRPr="00F60725">
        <w:rPr>
          <w:bCs/>
          <w:sz w:val="22"/>
          <w:lang w:val="en-US" w:eastAsia="zh-CN" w:bidi="en-US"/>
        </w:rPr>
        <w:t xml:space="preserve"> </w:t>
      </w:r>
      <w:proofErr w:type="spellStart"/>
      <w:r w:rsidRPr="00F60725">
        <w:rPr>
          <w:bCs/>
          <w:sz w:val="22"/>
          <w:lang w:val="en-US" w:eastAsia="zh-CN" w:bidi="en-US"/>
        </w:rPr>
        <w:t>Syarat</w:t>
      </w:r>
      <w:proofErr w:type="spellEnd"/>
      <w:r w:rsidRPr="00F60725">
        <w:rPr>
          <w:bCs/>
          <w:sz w:val="22"/>
          <w:lang w:val="en-US" w:eastAsia="zh-CN" w:bidi="en-US"/>
        </w:rPr>
        <w:t xml:space="preserve"> </w:t>
      </w:r>
      <w:proofErr w:type="spellStart"/>
      <w:r w:rsidRPr="00F60725">
        <w:rPr>
          <w:bCs/>
          <w:sz w:val="22"/>
          <w:lang w:val="en-US" w:eastAsia="zh-CN" w:bidi="en-US"/>
        </w:rPr>
        <w:t>Analisis</w:t>
      </w:r>
      <w:proofErr w:type="spellEnd"/>
    </w:p>
    <w:p w14:paraId="55510E2A" w14:textId="77777777" w:rsidR="00F60725" w:rsidRPr="00F60725" w:rsidRDefault="00F60725" w:rsidP="00F60725">
      <w:pPr>
        <w:pStyle w:val="ListParagraph"/>
        <w:ind w:left="0" w:firstLine="720"/>
        <w:rPr>
          <w:bCs/>
          <w:sz w:val="22"/>
          <w:lang w:val="en-US" w:eastAsia="zh-CN" w:bidi="en-US"/>
        </w:rPr>
      </w:pPr>
    </w:p>
    <w:p w14:paraId="21994776" w14:textId="77777777" w:rsidR="00F60725" w:rsidRPr="00F60725" w:rsidRDefault="00F60725" w:rsidP="00573CFE">
      <w:pPr>
        <w:pStyle w:val="ListParagraph"/>
        <w:numPr>
          <w:ilvl w:val="0"/>
          <w:numId w:val="12"/>
        </w:numPr>
        <w:ind w:left="284" w:hanging="284"/>
        <w:rPr>
          <w:bCs/>
          <w:sz w:val="22"/>
          <w:lang w:val="en-US" w:eastAsia="zh-CN" w:bidi="en-US"/>
        </w:rPr>
      </w:pPr>
      <w:r w:rsidRPr="00F60725">
        <w:rPr>
          <w:bCs/>
          <w:sz w:val="22"/>
          <w:lang w:val="en-US" w:eastAsia="zh-CN" w:bidi="en-US"/>
        </w:rPr>
        <w:t xml:space="preserve">Uji Normalitas </w:t>
      </w:r>
    </w:p>
    <w:p w14:paraId="10574A6B" w14:textId="77777777" w:rsidR="00F60725" w:rsidRPr="00F60725" w:rsidRDefault="00F60725" w:rsidP="00F60725">
      <w:pPr>
        <w:pStyle w:val="ListParagraph"/>
        <w:ind w:left="0" w:firstLine="720"/>
        <w:rPr>
          <w:bCs/>
          <w:sz w:val="22"/>
          <w:lang w:val="en-US" w:eastAsia="zh-CN" w:bidi="en-US"/>
        </w:rPr>
      </w:pPr>
    </w:p>
    <w:tbl>
      <w:tblPr>
        <w:tblW w:w="50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11"/>
        <w:gridCol w:w="1606"/>
        <w:gridCol w:w="1765"/>
      </w:tblGrid>
      <w:tr w:rsidR="00F60725" w:rsidRPr="00F60725" w14:paraId="427F6D11" w14:textId="77777777" w:rsidTr="00573CFE">
        <w:trPr>
          <w:cantSplit/>
          <w:trHeight w:val="147"/>
          <w:jc w:val="center"/>
        </w:trPr>
        <w:tc>
          <w:tcPr>
            <w:tcW w:w="0" w:type="auto"/>
            <w:gridSpan w:val="3"/>
            <w:tcBorders>
              <w:top w:val="nil"/>
              <w:left w:val="nil"/>
              <w:bottom w:val="nil"/>
              <w:right w:val="nil"/>
            </w:tcBorders>
            <w:shd w:val="clear" w:color="auto" w:fill="FFFFFF"/>
            <w:vAlign w:val="center"/>
          </w:tcPr>
          <w:p w14:paraId="7FCEA875" w14:textId="77777777" w:rsidR="00F60725" w:rsidRPr="00573CFE" w:rsidRDefault="00F60725" w:rsidP="00573CFE">
            <w:pPr>
              <w:pStyle w:val="ListParagraph"/>
              <w:ind w:left="0"/>
              <w:jc w:val="center"/>
              <w:rPr>
                <w:b/>
                <w:bCs/>
                <w:sz w:val="22"/>
                <w:lang w:val="en-US" w:eastAsia="zh-CN" w:bidi="en-US"/>
              </w:rPr>
            </w:pPr>
            <w:r w:rsidRPr="00573CFE">
              <w:rPr>
                <w:b/>
                <w:bCs/>
                <w:sz w:val="22"/>
                <w:lang w:val="id-ID" w:eastAsia="zh-CN" w:bidi="en-US"/>
              </w:rPr>
              <w:t xml:space="preserve">Tabel </w:t>
            </w:r>
            <w:r w:rsidR="00573CFE" w:rsidRPr="00573CFE">
              <w:rPr>
                <w:b/>
                <w:bCs/>
                <w:sz w:val="22"/>
                <w:lang w:val="en-US" w:eastAsia="zh-CN" w:bidi="en-US"/>
              </w:rPr>
              <w:t xml:space="preserve">3.  </w:t>
            </w:r>
            <w:r w:rsidRPr="00573CFE">
              <w:rPr>
                <w:b/>
                <w:bCs/>
                <w:sz w:val="22"/>
                <w:lang w:val="en-US" w:eastAsia="zh-CN" w:bidi="en-US"/>
              </w:rPr>
              <w:t xml:space="preserve">Uji </w:t>
            </w:r>
            <w:r w:rsidR="00573CFE" w:rsidRPr="00573CFE">
              <w:rPr>
                <w:b/>
                <w:bCs/>
                <w:sz w:val="22"/>
                <w:lang w:val="en-US" w:eastAsia="zh-CN" w:bidi="en-US"/>
              </w:rPr>
              <w:t>Normalitas</w:t>
            </w:r>
          </w:p>
          <w:p w14:paraId="36219C8C" w14:textId="77777777" w:rsidR="00F60725" w:rsidRPr="00F60725" w:rsidRDefault="00F60725" w:rsidP="00F60725">
            <w:pPr>
              <w:pStyle w:val="ListParagraph"/>
              <w:ind w:left="0" w:firstLine="720"/>
              <w:rPr>
                <w:bCs/>
                <w:sz w:val="22"/>
                <w:lang w:val="en-US" w:eastAsia="zh-CN" w:bidi="en-US"/>
              </w:rPr>
            </w:pPr>
          </w:p>
        </w:tc>
      </w:tr>
      <w:tr w:rsidR="00F60725" w:rsidRPr="00F60725" w14:paraId="56A581F8" w14:textId="77777777" w:rsidTr="00573CFE">
        <w:trPr>
          <w:cantSplit/>
          <w:trHeight w:val="147"/>
          <w:jc w:val="center"/>
        </w:trPr>
        <w:tc>
          <w:tcPr>
            <w:tcW w:w="0" w:type="auto"/>
            <w:gridSpan w:val="2"/>
            <w:tcBorders>
              <w:top w:val="single" w:sz="8" w:space="0" w:color="152935"/>
              <w:left w:val="nil"/>
              <w:bottom w:val="single" w:sz="8" w:space="0" w:color="AEAEAE"/>
              <w:right w:val="nil"/>
            </w:tcBorders>
            <w:shd w:val="clear" w:color="auto" w:fill="E0E0E0"/>
            <w:vAlign w:val="center"/>
          </w:tcPr>
          <w:p w14:paraId="2D880696"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N</w:t>
            </w:r>
          </w:p>
        </w:tc>
        <w:tc>
          <w:tcPr>
            <w:tcW w:w="0" w:type="auto"/>
            <w:tcBorders>
              <w:top w:val="single" w:sz="8" w:space="0" w:color="152935"/>
              <w:left w:val="nil"/>
              <w:bottom w:val="single" w:sz="8" w:space="0" w:color="AEAEAE"/>
              <w:right w:val="nil"/>
            </w:tcBorders>
            <w:shd w:val="clear" w:color="auto" w:fill="FFFFFF"/>
            <w:vAlign w:val="center"/>
          </w:tcPr>
          <w:p w14:paraId="56716110"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89</w:t>
            </w:r>
          </w:p>
        </w:tc>
      </w:tr>
      <w:tr w:rsidR="00F60725" w:rsidRPr="00F60725" w14:paraId="5991FF3C" w14:textId="77777777" w:rsidTr="00573CFE">
        <w:trPr>
          <w:cantSplit/>
          <w:trHeight w:val="297"/>
          <w:jc w:val="center"/>
        </w:trPr>
        <w:tc>
          <w:tcPr>
            <w:tcW w:w="0" w:type="auto"/>
            <w:vMerge w:val="restart"/>
            <w:tcBorders>
              <w:top w:val="single" w:sz="8" w:space="0" w:color="AEAEAE"/>
              <w:left w:val="nil"/>
              <w:bottom w:val="single" w:sz="8" w:space="0" w:color="AEAEAE"/>
              <w:right w:val="nil"/>
            </w:tcBorders>
            <w:shd w:val="clear" w:color="auto" w:fill="E0E0E0"/>
            <w:vAlign w:val="center"/>
          </w:tcPr>
          <w:p w14:paraId="2677FB29"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Normal Parameters</w:t>
            </w:r>
            <w:r w:rsidRPr="00F60725">
              <w:rPr>
                <w:bCs/>
                <w:sz w:val="22"/>
                <w:vertAlign w:val="superscript"/>
                <w:lang w:val="id-ID" w:eastAsia="zh-CN" w:bidi="en-US"/>
              </w:rPr>
              <w:t>a,b</w:t>
            </w:r>
          </w:p>
        </w:tc>
        <w:tc>
          <w:tcPr>
            <w:tcW w:w="0" w:type="auto"/>
            <w:tcBorders>
              <w:top w:val="single" w:sz="8" w:space="0" w:color="AEAEAE"/>
              <w:left w:val="nil"/>
              <w:bottom w:val="single" w:sz="8" w:space="0" w:color="AEAEAE"/>
              <w:right w:val="nil"/>
            </w:tcBorders>
            <w:shd w:val="clear" w:color="auto" w:fill="E0E0E0"/>
            <w:vAlign w:val="center"/>
          </w:tcPr>
          <w:p w14:paraId="63EB153B"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Mean</w:t>
            </w:r>
          </w:p>
        </w:tc>
        <w:tc>
          <w:tcPr>
            <w:tcW w:w="0" w:type="auto"/>
            <w:tcBorders>
              <w:top w:val="single" w:sz="8" w:space="0" w:color="AEAEAE"/>
              <w:left w:val="nil"/>
              <w:bottom w:val="single" w:sz="8" w:space="0" w:color="AEAEAE"/>
              <w:right w:val="nil"/>
            </w:tcBorders>
            <w:shd w:val="clear" w:color="auto" w:fill="FFFFFF"/>
            <w:vAlign w:val="center"/>
          </w:tcPr>
          <w:p w14:paraId="4C9A6142"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,0000000</w:t>
            </w:r>
          </w:p>
        </w:tc>
      </w:tr>
      <w:tr w:rsidR="00F60725" w:rsidRPr="00F60725" w14:paraId="5E1DCD19" w14:textId="77777777" w:rsidTr="00573CFE">
        <w:trPr>
          <w:cantSplit/>
          <w:trHeight w:val="90"/>
          <w:jc w:val="center"/>
        </w:trPr>
        <w:tc>
          <w:tcPr>
            <w:tcW w:w="0" w:type="auto"/>
            <w:vMerge/>
            <w:tcBorders>
              <w:top w:val="single" w:sz="8" w:space="0" w:color="AEAEAE"/>
              <w:left w:val="nil"/>
              <w:bottom w:val="single" w:sz="8" w:space="0" w:color="AEAEAE"/>
              <w:right w:val="nil"/>
            </w:tcBorders>
            <w:shd w:val="clear" w:color="auto" w:fill="E0E0E0"/>
            <w:vAlign w:val="center"/>
          </w:tcPr>
          <w:p w14:paraId="50F98DF7" w14:textId="77777777" w:rsidR="00F60725" w:rsidRPr="00F60725" w:rsidRDefault="00F60725" w:rsidP="00F60725">
            <w:pPr>
              <w:pStyle w:val="ListParagraph"/>
              <w:ind w:left="0" w:firstLine="720"/>
              <w:rPr>
                <w:bCs/>
                <w:sz w:val="22"/>
                <w:lang w:val="id-ID" w:eastAsia="zh-CN" w:bidi="en-US"/>
              </w:rPr>
            </w:pPr>
          </w:p>
        </w:tc>
        <w:tc>
          <w:tcPr>
            <w:tcW w:w="0" w:type="auto"/>
            <w:tcBorders>
              <w:top w:val="single" w:sz="8" w:space="0" w:color="AEAEAE"/>
              <w:left w:val="nil"/>
              <w:bottom w:val="single" w:sz="8" w:space="0" w:color="AEAEAE"/>
              <w:right w:val="nil"/>
            </w:tcBorders>
            <w:shd w:val="clear" w:color="auto" w:fill="E0E0E0"/>
            <w:vAlign w:val="center"/>
          </w:tcPr>
          <w:p w14:paraId="10C82F86"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Std. Deviation</w:t>
            </w:r>
          </w:p>
        </w:tc>
        <w:tc>
          <w:tcPr>
            <w:tcW w:w="0" w:type="auto"/>
            <w:tcBorders>
              <w:top w:val="single" w:sz="8" w:space="0" w:color="AEAEAE"/>
              <w:left w:val="nil"/>
              <w:bottom w:val="single" w:sz="8" w:space="0" w:color="AEAEAE"/>
              <w:right w:val="nil"/>
            </w:tcBorders>
            <w:shd w:val="clear" w:color="auto" w:fill="FFFFFF"/>
            <w:vAlign w:val="center"/>
          </w:tcPr>
          <w:p w14:paraId="6AD3E5A5"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9,78862639</w:t>
            </w:r>
          </w:p>
        </w:tc>
      </w:tr>
      <w:tr w:rsidR="00F60725" w:rsidRPr="00F60725" w14:paraId="14247059" w14:textId="77777777" w:rsidTr="00573CFE">
        <w:trPr>
          <w:cantSplit/>
          <w:trHeight w:val="297"/>
          <w:jc w:val="center"/>
        </w:trPr>
        <w:tc>
          <w:tcPr>
            <w:tcW w:w="0" w:type="auto"/>
            <w:vMerge w:val="restart"/>
            <w:tcBorders>
              <w:top w:val="single" w:sz="8" w:space="0" w:color="AEAEAE"/>
              <w:left w:val="nil"/>
              <w:bottom w:val="single" w:sz="8" w:space="0" w:color="AEAEAE"/>
              <w:right w:val="nil"/>
            </w:tcBorders>
            <w:shd w:val="clear" w:color="auto" w:fill="E0E0E0"/>
            <w:vAlign w:val="center"/>
          </w:tcPr>
          <w:p w14:paraId="38521020"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Most Extreme Differences</w:t>
            </w:r>
          </w:p>
        </w:tc>
        <w:tc>
          <w:tcPr>
            <w:tcW w:w="0" w:type="auto"/>
            <w:tcBorders>
              <w:top w:val="single" w:sz="8" w:space="0" w:color="AEAEAE"/>
              <w:left w:val="nil"/>
              <w:bottom w:val="single" w:sz="8" w:space="0" w:color="AEAEAE"/>
              <w:right w:val="nil"/>
            </w:tcBorders>
            <w:shd w:val="clear" w:color="auto" w:fill="E0E0E0"/>
            <w:vAlign w:val="center"/>
          </w:tcPr>
          <w:p w14:paraId="3F415F83"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Absolute</w:t>
            </w:r>
          </w:p>
        </w:tc>
        <w:tc>
          <w:tcPr>
            <w:tcW w:w="0" w:type="auto"/>
            <w:tcBorders>
              <w:top w:val="single" w:sz="8" w:space="0" w:color="AEAEAE"/>
              <w:left w:val="nil"/>
              <w:bottom w:val="single" w:sz="8" w:space="0" w:color="AEAEAE"/>
              <w:right w:val="nil"/>
            </w:tcBorders>
            <w:shd w:val="clear" w:color="auto" w:fill="FFFFFF"/>
            <w:vAlign w:val="center"/>
          </w:tcPr>
          <w:p w14:paraId="49F9EDCB"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,073</w:t>
            </w:r>
          </w:p>
        </w:tc>
      </w:tr>
      <w:tr w:rsidR="00F60725" w:rsidRPr="00F60725" w14:paraId="04BB439D" w14:textId="77777777" w:rsidTr="00573CFE">
        <w:trPr>
          <w:cantSplit/>
          <w:trHeight w:val="90"/>
          <w:jc w:val="center"/>
        </w:trPr>
        <w:tc>
          <w:tcPr>
            <w:tcW w:w="0" w:type="auto"/>
            <w:vMerge/>
            <w:tcBorders>
              <w:top w:val="single" w:sz="8" w:space="0" w:color="AEAEAE"/>
              <w:left w:val="nil"/>
              <w:bottom w:val="single" w:sz="8" w:space="0" w:color="AEAEAE"/>
              <w:right w:val="nil"/>
            </w:tcBorders>
            <w:shd w:val="clear" w:color="auto" w:fill="E0E0E0"/>
            <w:vAlign w:val="center"/>
          </w:tcPr>
          <w:p w14:paraId="54F6B383" w14:textId="77777777" w:rsidR="00F60725" w:rsidRPr="00F60725" w:rsidRDefault="00F60725" w:rsidP="00F60725">
            <w:pPr>
              <w:pStyle w:val="ListParagraph"/>
              <w:ind w:left="0" w:firstLine="720"/>
              <w:rPr>
                <w:bCs/>
                <w:sz w:val="22"/>
                <w:lang w:val="id-ID" w:eastAsia="zh-CN" w:bidi="en-US"/>
              </w:rPr>
            </w:pPr>
          </w:p>
        </w:tc>
        <w:tc>
          <w:tcPr>
            <w:tcW w:w="0" w:type="auto"/>
            <w:tcBorders>
              <w:top w:val="single" w:sz="8" w:space="0" w:color="AEAEAE"/>
              <w:left w:val="nil"/>
              <w:bottom w:val="single" w:sz="8" w:space="0" w:color="AEAEAE"/>
              <w:right w:val="nil"/>
            </w:tcBorders>
            <w:shd w:val="clear" w:color="auto" w:fill="E0E0E0"/>
            <w:vAlign w:val="center"/>
          </w:tcPr>
          <w:p w14:paraId="175196BD"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Positive</w:t>
            </w:r>
          </w:p>
        </w:tc>
        <w:tc>
          <w:tcPr>
            <w:tcW w:w="0" w:type="auto"/>
            <w:tcBorders>
              <w:top w:val="single" w:sz="8" w:space="0" w:color="AEAEAE"/>
              <w:left w:val="nil"/>
              <w:bottom w:val="single" w:sz="8" w:space="0" w:color="AEAEAE"/>
              <w:right w:val="nil"/>
            </w:tcBorders>
            <w:shd w:val="clear" w:color="auto" w:fill="FFFFFF"/>
            <w:vAlign w:val="center"/>
          </w:tcPr>
          <w:p w14:paraId="30108496"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,045</w:t>
            </w:r>
          </w:p>
        </w:tc>
      </w:tr>
      <w:tr w:rsidR="00F60725" w:rsidRPr="00F60725" w14:paraId="62DF8ED8" w14:textId="77777777" w:rsidTr="00573CFE">
        <w:trPr>
          <w:cantSplit/>
          <w:trHeight w:val="90"/>
          <w:jc w:val="center"/>
        </w:trPr>
        <w:tc>
          <w:tcPr>
            <w:tcW w:w="0" w:type="auto"/>
            <w:vMerge/>
            <w:tcBorders>
              <w:top w:val="single" w:sz="8" w:space="0" w:color="AEAEAE"/>
              <w:left w:val="nil"/>
              <w:bottom w:val="single" w:sz="8" w:space="0" w:color="AEAEAE"/>
              <w:right w:val="nil"/>
            </w:tcBorders>
            <w:shd w:val="clear" w:color="auto" w:fill="E0E0E0"/>
            <w:vAlign w:val="center"/>
          </w:tcPr>
          <w:p w14:paraId="1F1D9EB3" w14:textId="77777777" w:rsidR="00F60725" w:rsidRPr="00F60725" w:rsidRDefault="00F60725" w:rsidP="00F60725">
            <w:pPr>
              <w:pStyle w:val="ListParagraph"/>
              <w:ind w:left="0" w:firstLine="720"/>
              <w:rPr>
                <w:bCs/>
                <w:sz w:val="22"/>
                <w:lang w:val="id-ID" w:eastAsia="zh-CN" w:bidi="en-US"/>
              </w:rPr>
            </w:pPr>
          </w:p>
        </w:tc>
        <w:tc>
          <w:tcPr>
            <w:tcW w:w="0" w:type="auto"/>
            <w:tcBorders>
              <w:top w:val="single" w:sz="8" w:space="0" w:color="AEAEAE"/>
              <w:left w:val="nil"/>
              <w:bottom w:val="single" w:sz="8" w:space="0" w:color="AEAEAE"/>
              <w:right w:val="nil"/>
            </w:tcBorders>
            <w:shd w:val="clear" w:color="auto" w:fill="E0E0E0"/>
            <w:vAlign w:val="center"/>
          </w:tcPr>
          <w:p w14:paraId="4E5E0980"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Negative</w:t>
            </w:r>
          </w:p>
        </w:tc>
        <w:tc>
          <w:tcPr>
            <w:tcW w:w="0" w:type="auto"/>
            <w:tcBorders>
              <w:top w:val="single" w:sz="8" w:space="0" w:color="AEAEAE"/>
              <w:left w:val="nil"/>
              <w:bottom w:val="single" w:sz="8" w:space="0" w:color="AEAEAE"/>
              <w:right w:val="nil"/>
            </w:tcBorders>
            <w:shd w:val="clear" w:color="auto" w:fill="FFFFFF"/>
            <w:vAlign w:val="center"/>
          </w:tcPr>
          <w:p w14:paraId="089F507D"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-,073</w:t>
            </w:r>
          </w:p>
        </w:tc>
      </w:tr>
      <w:tr w:rsidR="00F60725" w:rsidRPr="00F60725" w14:paraId="5743C939" w14:textId="77777777" w:rsidTr="00573CFE">
        <w:trPr>
          <w:cantSplit/>
          <w:trHeight w:val="147"/>
          <w:jc w:val="center"/>
        </w:trPr>
        <w:tc>
          <w:tcPr>
            <w:tcW w:w="0" w:type="auto"/>
            <w:gridSpan w:val="2"/>
            <w:tcBorders>
              <w:top w:val="single" w:sz="8" w:space="0" w:color="AEAEAE"/>
              <w:left w:val="nil"/>
              <w:bottom w:val="single" w:sz="8" w:space="0" w:color="AEAEAE"/>
              <w:right w:val="nil"/>
            </w:tcBorders>
            <w:shd w:val="clear" w:color="auto" w:fill="E0E0E0"/>
            <w:vAlign w:val="center"/>
          </w:tcPr>
          <w:p w14:paraId="3577E097"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Test Statistic</w:t>
            </w:r>
          </w:p>
        </w:tc>
        <w:tc>
          <w:tcPr>
            <w:tcW w:w="0" w:type="auto"/>
            <w:tcBorders>
              <w:top w:val="single" w:sz="8" w:space="0" w:color="AEAEAE"/>
              <w:left w:val="nil"/>
              <w:bottom w:val="single" w:sz="8" w:space="0" w:color="AEAEAE"/>
              <w:right w:val="nil"/>
            </w:tcBorders>
            <w:shd w:val="clear" w:color="auto" w:fill="FFFFFF"/>
            <w:vAlign w:val="center"/>
          </w:tcPr>
          <w:p w14:paraId="52EFDED1"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,073</w:t>
            </w:r>
          </w:p>
        </w:tc>
      </w:tr>
      <w:tr w:rsidR="00F60725" w:rsidRPr="00F60725" w14:paraId="22F1BD51" w14:textId="77777777" w:rsidTr="00573CFE">
        <w:trPr>
          <w:cantSplit/>
          <w:trHeight w:val="147"/>
          <w:jc w:val="center"/>
        </w:trPr>
        <w:tc>
          <w:tcPr>
            <w:tcW w:w="0" w:type="auto"/>
            <w:gridSpan w:val="2"/>
            <w:tcBorders>
              <w:top w:val="single" w:sz="8" w:space="0" w:color="AEAEAE"/>
              <w:left w:val="nil"/>
              <w:bottom w:val="single" w:sz="8" w:space="0" w:color="152935"/>
              <w:right w:val="nil"/>
            </w:tcBorders>
            <w:shd w:val="clear" w:color="auto" w:fill="E0E0E0"/>
            <w:vAlign w:val="center"/>
          </w:tcPr>
          <w:p w14:paraId="5E8B6C9E"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Asymp. Sig. (2-tailed)</w:t>
            </w:r>
          </w:p>
        </w:tc>
        <w:tc>
          <w:tcPr>
            <w:tcW w:w="0" w:type="auto"/>
            <w:tcBorders>
              <w:top w:val="single" w:sz="8" w:space="0" w:color="AEAEAE"/>
              <w:left w:val="nil"/>
              <w:bottom w:val="single" w:sz="8" w:space="0" w:color="152935"/>
              <w:right w:val="nil"/>
            </w:tcBorders>
            <w:shd w:val="clear" w:color="auto" w:fill="FFFFFF"/>
            <w:vAlign w:val="center"/>
          </w:tcPr>
          <w:p w14:paraId="25D2CC3B"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,200</w:t>
            </w:r>
            <w:r w:rsidRPr="00F60725">
              <w:rPr>
                <w:bCs/>
                <w:sz w:val="22"/>
                <w:vertAlign w:val="superscript"/>
                <w:lang w:val="id-ID" w:eastAsia="zh-CN" w:bidi="en-US"/>
              </w:rPr>
              <w:t>c,d</w:t>
            </w:r>
          </w:p>
        </w:tc>
      </w:tr>
    </w:tbl>
    <w:p w14:paraId="2EF883A6" w14:textId="77777777" w:rsidR="00F60725" w:rsidRPr="00F60725" w:rsidRDefault="00F60725" w:rsidP="00F60725">
      <w:pPr>
        <w:pStyle w:val="ListParagraph"/>
        <w:ind w:left="0" w:firstLine="720"/>
        <w:rPr>
          <w:bCs/>
          <w:sz w:val="22"/>
          <w:lang w:val="id-ID" w:eastAsia="zh-CN" w:bidi="en-US"/>
        </w:rPr>
      </w:pPr>
      <w:r w:rsidRPr="00F60725">
        <w:rPr>
          <w:bCs/>
          <w:sz w:val="22"/>
          <w:lang w:val="id-ID" w:eastAsia="zh-CN" w:bidi="en-US"/>
        </w:rPr>
        <w:tab/>
      </w:r>
    </w:p>
    <w:p w14:paraId="0EDF4C20" w14:textId="77777777" w:rsidR="00F60725" w:rsidRDefault="00F60725" w:rsidP="00F60725">
      <w:pPr>
        <w:pStyle w:val="ListParagraph"/>
        <w:ind w:left="0" w:firstLine="720"/>
        <w:rPr>
          <w:b/>
          <w:bCs/>
          <w:sz w:val="22"/>
          <w:lang w:val="id-ID" w:eastAsia="zh-CN" w:bidi="en-US"/>
        </w:rPr>
      </w:pPr>
      <w:r w:rsidRPr="00F60725">
        <w:rPr>
          <w:bCs/>
          <w:sz w:val="22"/>
          <w:lang w:val="id-ID" w:eastAsia="zh-CN" w:bidi="en-US"/>
        </w:rPr>
        <w:t xml:space="preserve">Berdasarkan tabel hasil Uji Normalitas diketahui nilai signifikansi </w:t>
      </w:r>
      <w:r w:rsidRPr="00F60725">
        <w:rPr>
          <w:b/>
          <w:bCs/>
          <w:sz w:val="22"/>
          <w:lang w:val="id-ID" w:eastAsia="zh-CN" w:bidi="en-US"/>
        </w:rPr>
        <w:t xml:space="preserve">0,200 </w:t>
      </w:r>
      <w:r w:rsidRPr="00F60725">
        <w:rPr>
          <w:bCs/>
          <w:sz w:val="22"/>
          <w:lang w:val="id-ID" w:eastAsia="zh-CN" w:bidi="en-US"/>
        </w:rPr>
        <w:t xml:space="preserve">&gt; </w:t>
      </w:r>
      <w:r w:rsidRPr="00F60725">
        <w:rPr>
          <w:b/>
          <w:bCs/>
          <w:sz w:val="22"/>
          <w:lang w:val="id-ID" w:eastAsia="zh-CN" w:bidi="en-US"/>
        </w:rPr>
        <w:t xml:space="preserve">0,05 </w:t>
      </w:r>
      <w:r w:rsidRPr="00F60725">
        <w:rPr>
          <w:bCs/>
          <w:sz w:val="22"/>
          <w:lang w:val="id-ID" w:eastAsia="zh-CN" w:bidi="en-US"/>
        </w:rPr>
        <w:t xml:space="preserve">maka dapat disimpulkan bahwa nilai residual berdistribusi </w:t>
      </w:r>
      <w:r w:rsidRPr="00F60725">
        <w:rPr>
          <w:b/>
          <w:bCs/>
          <w:sz w:val="22"/>
          <w:lang w:val="id-ID" w:eastAsia="zh-CN" w:bidi="en-US"/>
        </w:rPr>
        <w:t>normal.</w:t>
      </w:r>
    </w:p>
    <w:p w14:paraId="277832C8" w14:textId="77777777" w:rsidR="00F60725" w:rsidRPr="00475F4A" w:rsidRDefault="00F60725" w:rsidP="00573CFE">
      <w:pPr>
        <w:spacing w:before="120" w:after="120"/>
        <w:contextualSpacing w:val="0"/>
        <w:rPr>
          <w:b/>
          <w:bCs/>
          <w:sz w:val="22"/>
          <w:lang w:val="it-IT" w:eastAsia="zh-CN" w:bidi="en-US"/>
        </w:rPr>
      </w:pPr>
      <w:r w:rsidRPr="00475F4A">
        <w:rPr>
          <w:b/>
          <w:bCs/>
          <w:sz w:val="22"/>
          <w:lang w:val="it-IT" w:eastAsia="zh-CN" w:bidi="en-US"/>
        </w:rPr>
        <w:t>Uji Regresi Linearitas Sederhana</w:t>
      </w:r>
    </w:p>
    <w:p w14:paraId="4940DD40" w14:textId="77777777" w:rsidR="00F60725" w:rsidRPr="00475F4A" w:rsidRDefault="00F60725" w:rsidP="00573CFE">
      <w:pPr>
        <w:pStyle w:val="ListParagraph"/>
        <w:ind w:hanging="720"/>
        <w:jc w:val="center"/>
        <w:rPr>
          <w:b/>
          <w:bCs/>
          <w:sz w:val="22"/>
          <w:lang w:val="it-IT" w:eastAsia="zh-CN" w:bidi="en-US"/>
        </w:rPr>
      </w:pPr>
      <w:r w:rsidRPr="00475F4A">
        <w:rPr>
          <w:b/>
          <w:bCs/>
          <w:sz w:val="22"/>
          <w:lang w:val="it-IT" w:eastAsia="zh-CN" w:bidi="en-US"/>
        </w:rPr>
        <w:t>Tabel 4. uji regresi linieritas sederhana</w:t>
      </w:r>
    </w:p>
    <w:p w14:paraId="5874BBBC" w14:textId="77777777" w:rsidR="00573CFE" w:rsidRPr="00475F4A" w:rsidRDefault="00573CFE" w:rsidP="00F60725">
      <w:pPr>
        <w:pStyle w:val="ListParagraph"/>
        <w:ind w:firstLine="720"/>
        <w:rPr>
          <w:b/>
          <w:bCs/>
          <w:sz w:val="22"/>
          <w:lang w:val="it-IT" w:eastAsia="zh-CN" w:bidi="en-US"/>
        </w:rPr>
      </w:pPr>
    </w:p>
    <w:tbl>
      <w:tblPr>
        <w:tblW w:w="4997" w:type="dxa"/>
        <w:jc w:val="center"/>
        <w:tblBorders>
          <w:top w:val="single" w:sz="4" w:space="0" w:color="C9C9C9"/>
          <w:bottom w:val="single" w:sz="4" w:space="0" w:color="C9C9C9"/>
          <w:insideH w:val="single" w:sz="4" w:space="0" w:color="C9C9C9"/>
        </w:tblBorders>
        <w:tblLayout w:type="fixed"/>
        <w:tblLook w:val="0000" w:firstRow="0" w:lastRow="0" w:firstColumn="0" w:lastColumn="0" w:noHBand="0" w:noVBand="0"/>
      </w:tblPr>
      <w:tblGrid>
        <w:gridCol w:w="452"/>
        <w:gridCol w:w="727"/>
        <w:gridCol w:w="822"/>
        <w:gridCol w:w="822"/>
        <w:gridCol w:w="907"/>
        <w:gridCol w:w="632"/>
        <w:gridCol w:w="635"/>
      </w:tblGrid>
      <w:tr w:rsidR="00573CFE" w:rsidRPr="00573CFE" w14:paraId="3C2A47C3" w14:textId="77777777" w:rsidTr="00573CFE">
        <w:trPr>
          <w:trHeight w:val="391"/>
          <w:jc w:val="center"/>
        </w:trPr>
        <w:tc>
          <w:tcPr>
            <w:tcW w:w="1179" w:type="dxa"/>
            <w:gridSpan w:val="2"/>
            <w:vMerge w:val="restart"/>
            <w:shd w:val="clear" w:color="auto" w:fill="EDEDED"/>
          </w:tcPr>
          <w:p w14:paraId="1153132F"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Model</w:t>
            </w:r>
          </w:p>
        </w:tc>
        <w:tc>
          <w:tcPr>
            <w:tcW w:w="1644" w:type="dxa"/>
            <w:gridSpan w:val="2"/>
            <w:shd w:val="clear" w:color="auto" w:fill="EDEDED"/>
          </w:tcPr>
          <w:p w14:paraId="3B13BD87"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Unstandardized Coefficients</w:t>
            </w:r>
          </w:p>
        </w:tc>
        <w:tc>
          <w:tcPr>
            <w:tcW w:w="907" w:type="dxa"/>
            <w:shd w:val="clear" w:color="auto" w:fill="EDEDED"/>
          </w:tcPr>
          <w:p w14:paraId="7F5ABA82"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Standardized Coefficients</w:t>
            </w:r>
          </w:p>
        </w:tc>
        <w:tc>
          <w:tcPr>
            <w:tcW w:w="632" w:type="dxa"/>
            <w:vMerge w:val="restart"/>
            <w:shd w:val="clear" w:color="auto" w:fill="EDEDED"/>
          </w:tcPr>
          <w:p w14:paraId="56B1FE98"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T</w:t>
            </w:r>
          </w:p>
        </w:tc>
        <w:tc>
          <w:tcPr>
            <w:tcW w:w="635" w:type="dxa"/>
            <w:vMerge w:val="restart"/>
            <w:shd w:val="clear" w:color="auto" w:fill="EDEDED"/>
          </w:tcPr>
          <w:p w14:paraId="0580E051"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Sig.</w:t>
            </w:r>
          </w:p>
        </w:tc>
      </w:tr>
      <w:tr w:rsidR="00573CFE" w:rsidRPr="00573CFE" w14:paraId="3B9EF30E" w14:textId="77777777" w:rsidTr="00573CFE">
        <w:trPr>
          <w:trHeight w:val="124"/>
          <w:jc w:val="center"/>
        </w:trPr>
        <w:tc>
          <w:tcPr>
            <w:tcW w:w="1179" w:type="dxa"/>
            <w:gridSpan w:val="2"/>
            <w:vMerge/>
            <w:shd w:val="clear" w:color="auto" w:fill="EDEDED"/>
          </w:tcPr>
          <w:p w14:paraId="3D0FD07E" w14:textId="77777777" w:rsidR="00573CFE" w:rsidRPr="00573CFE" w:rsidRDefault="00573CFE" w:rsidP="00573CFE">
            <w:pPr>
              <w:contextualSpacing w:val="0"/>
              <w:jc w:val="left"/>
              <w:rPr>
                <w:rFonts w:ascii="Calisto MT" w:eastAsia="Times New Roman" w:hAnsi="Calisto MT"/>
                <w:sz w:val="20"/>
                <w:szCs w:val="20"/>
                <w:lang w:val="id-ID"/>
              </w:rPr>
            </w:pPr>
          </w:p>
        </w:tc>
        <w:tc>
          <w:tcPr>
            <w:tcW w:w="822" w:type="dxa"/>
            <w:shd w:val="clear" w:color="auto" w:fill="auto"/>
          </w:tcPr>
          <w:p w14:paraId="22BE44A5"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B</w:t>
            </w:r>
          </w:p>
        </w:tc>
        <w:tc>
          <w:tcPr>
            <w:tcW w:w="822" w:type="dxa"/>
            <w:shd w:val="clear" w:color="auto" w:fill="EDEDED"/>
          </w:tcPr>
          <w:p w14:paraId="785C43BB"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Std. Error</w:t>
            </w:r>
          </w:p>
        </w:tc>
        <w:tc>
          <w:tcPr>
            <w:tcW w:w="907" w:type="dxa"/>
            <w:shd w:val="clear" w:color="auto" w:fill="auto"/>
          </w:tcPr>
          <w:p w14:paraId="069F5C51"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Beta</w:t>
            </w:r>
          </w:p>
        </w:tc>
        <w:tc>
          <w:tcPr>
            <w:tcW w:w="632" w:type="dxa"/>
            <w:vMerge/>
            <w:shd w:val="clear" w:color="auto" w:fill="EDEDED"/>
          </w:tcPr>
          <w:p w14:paraId="2AA53AD0" w14:textId="77777777" w:rsidR="00573CFE" w:rsidRPr="00573CFE" w:rsidRDefault="00573CFE" w:rsidP="00573CFE">
            <w:pPr>
              <w:contextualSpacing w:val="0"/>
              <w:jc w:val="left"/>
              <w:rPr>
                <w:rFonts w:ascii="Calisto MT" w:eastAsia="Times New Roman" w:hAnsi="Calisto MT"/>
                <w:sz w:val="20"/>
                <w:szCs w:val="20"/>
                <w:lang w:val="id-ID"/>
              </w:rPr>
            </w:pPr>
          </w:p>
        </w:tc>
        <w:tc>
          <w:tcPr>
            <w:tcW w:w="635" w:type="dxa"/>
            <w:vMerge/>
            <w:shd w:val="clear" w:color="auto" w:fill="auto"/>
          </w:tcPr>
          <w:p w14:paraId="1FCDF78F" w14:textId="77777777" w:rsidR="00573CFE" w:rsidRPr="00573CFE" w:rsidRDefault="00573CFE" w:rsidP="00573CFE">
            <w:pPr>
              <w:contextualSpacing w:val="0"/>
              <w:jc w:val="left"/>
              <w:rPr>
                <w:rFonts w:ascii="Calisto MT" w:eastAsia="Times New Roman" w:hAnsi="Calisto MT"/>
                <w:sz w:val="20"/>
                <w:szCs w:val="20"/>
                <w:lang w:val="id-ID"/>
              </w:rPr>
            </w:pPr>
          </w:p>
        </w:tc>
      </w:tr>
      <w:tr w:rsidR="00573CFE" w:rsidRPr="00573CFE" w14:paraId="096B73EC" w14:textId="77777777" w:rsidTr="00573CFE">
        <w:trPr>
          <w:trHeight w:val="202"/>
          <w:jc w:val="center"/>
        </w:trPr>
        <w:tc>
          <w:tcPr>
            <w:tcW w:w="452" w:type="dxa"/>
            <w:vMerge w:val="restart"/>
            <w:shd w:val="clear" w:color="auto" w:fill="EDEDED"/>
          </w:tcPr>
          <w:p w14:paraId="5BDF2C36"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1</w:t>
            </w:r>
          </w:p>
        </w:tc>
        <w:tc>
          <w:tcPr>
            <w:tcW w:w="727" w:type="dxa"/>
            <w:shd w:val="clear" w:color="auto" w:fill="EDEDED"/>
          </w:tcPr>
          <w:p w14:paraId="1BB00270"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(Constant)</w:t>
            </w:r>
          </w:p>
        </w:tc>
        <w:tc>
          <w:tcPr>
            <w:tcW w:w="822" w:type="dxa"/>
            <w:shd w:val="clear" w:color="auto" w:fill="EDEDED"/>
          </w:tcPr>
          <w:p w14:paraId="4A5A4EF7"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35,104</w:t>
            </w:r>
          </w:p>
        </w:tc>
        <w:tc>
          <w:tcPr>
            <w:tcW w:w="822" w:type="dxa"/>
            <w:shd w:val="clear" w:color="auto" w:fill="EDEDED"/>
          </w:tcPr>
          <w:p w14:paraId="05943020"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6,742</w:t>
            </w:r>
          </w:p>
        </w:tc>
        <w:tc>
          <w:tcPr>
            <w:tcW w:w="907" w:type="dxa"/>
            <w:shd w:val="clear" w:color="auto" w:fill="EDEDED"/>
          </w:tcPr>
          <w:p w14:paraId="2106FFA9" w14:textId="77777777" w:rsidR="00573CFE" w:rsidRPr="00573CFE" w:rsidRDefault="00573CFE" w:rsidP="00573CFE">
            <w:pPr>
              <w:contextualSpacing w:val="0"/>
              <w:jc w:val="left"/>
              <w:rPr>
                <w:rFonts w:ascii="Calisto MT" w:eastAsia="Times New Roman" w:hAnsi="Calisto MT"/>
                <w:sz w:val="20"/>
                <w:szCs w:val="20"/>
                <w:lang w:val="id-ID"/>
              </w:rPr>
            </w:pPr>
          </w:p>
        </w:tc>
        <w:tc>
          <w:tcPr>
            <w:tcW w:w="632" w:type="dxa"/>
            <w:shd w:val="clear" w:color="auto" w:fill="EDEDED"/>
          </w:tcPr>
          <w:p w14:paraId="248ACD8A"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5,207</w:t>
            </w:r>
          </w:p>
        </w:tc>
        <w:tc>
          <w:tcPr>
            <w:tcW w:w="635" w:type="dxa"/>
            <w:shd w:val="clear" w:color="auto" w:fill="EDEDED"/>
          </w:tcPr>
          <w:p w14:paraId="7BFBE41F"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,000</w:t>
            </w:r>
          </w:p>
        </w:tc>
      </w:tr>
      <w:tr w:rsidR="00573CFE" w:rsidRPr="00573CFE" w14:paraId="6CB2D025" w14:textId="77777777" w:rsidTr="00573CFE">
        <w:trPr>
          <w:trHeight w:val="124"/>
          <w:jc w:val="center"/>
        </w:trPr>
        <w:tc>
          <w:tcPr>
            <w:tcW w:w="452" w:type="dxa"/>
            <w:vMerge/>
            <w:shd w:val="clear" w:color="auto" w:fill="EDEDED"/>
          </w:tcPr>
          <w:p w14:paraId="7A4AE58B" w14:textId="77777777" w:rsidR="00573CFE" w:rsidRPr="00573CFE" w:rsidRDefault="00573CFE" w:rsidP="00573CFE">
            <w:pPr>
              <w:contextualSpacing w:val="0"/>
              <w:jc w:val="left"/>
              <w:rPr>
                <w:rFonts w:ascii="Calisto MT" w:eastAsia="Times New Roman" w:hAnsi="Calisto MT"/>
                <w:sz w:val="20"/>
                <w:szCs w:val="20"/>
                <w:lang w:val="id-ID"/>
              </w:rPr>
            </w:pPr>
          </w:p>
        </w:tc>
        <w:tc>
          <w:tcPr>
            <w:tcW w:w="727" w:type="dxa"/>
            <w:shd w:val="clear" w:color="auto" w:fill="auto"/>
          </w:tcPr>
          <w:p w14:paraId="26550A45"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NEP</w:t>
            </w:r>
          </w:p>
        </w:tc>
        <w:tc>
          <w:tcPr>
            <w:tcW w:w="822" w:type="dxa"/>
            <w:shd w:val="clear" w:color="auto" w:fill="EDEDED"/>
          </w:tcPr>
          <w:p w14:paraId="2777CDD0"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,422</w:t>
            </w:r>
          </w:p>
        </w:tc>
        <w:tc>
          <w:tcPr>
            <w:tcW w:w="822" w:type="dxa"/>
            <w:shd w:val="clear" w:color="auto" w:fill="auto"/>
          </w:tcPr>
          <w:p w14:paraId="3A1F68BF"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,087</w:t>
            </w:r>
          </w:p>
        </w:tc>
        <w:tc>
          <w:tcPr>
            <w:tcW w:w="907" w:type="dxa"/>
            <w:shd w:val="clear" w:color="auto" w:fill="EDEDED"/>
          </w:tcPr>
          <w:p w14:paraId="62024C77"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,463</w:t>
            </w:r>
          </w:p>
        </w:tc>
        <w:tc>
          <w:tcPr>
            <w:tcW w:w="632" w:type="dxa"/>
            <w:shd w:val="clear" w:color="auto" w:fill="auto"/>
          </w:tcPr>
          <w:p w14:paraId="0D3C4C59"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4,875</w:t>
            </w:r>
          </w:p>
        </w:tc>
        <w:tc>
          <w:tcPr>
            <w:tcW w:w="635" w:type="dxa"/>
            <w:shd w:val="clear" w:color="auto" w:fill="EDEDED"/>
          </w:tcPr>
          <w:p w14:paraId="5D49A103"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,000</w:t>
            </w:r>
          </w:p>
        </w:tc>
      </w:tr>
      <w:tr w:rsidR="00573CFE" w:rsidRPr="00573CFE" w14:paraId="3CB023BE" w14:textId="77777777" w:rsidTr="00573CFE">
        <w:trPr>
          <w:trHeight w:val="202"/>
          <w:jc w:val="center"/>
        </w:trPr>
        <w:tc>
          <w:tcPr>
            <w:tcW w:w="4997" w:type="dxa"/>
            <w:gridSpan w:val="7"/>
            <w:shd w:val="clear" w:color="auto" w:fill="EDEDED"/>
          </w:tcPr>
          <w:p w14:paraId="22E81667" w14:textId="77777777" w:rsidR="00573CFE" w:rsidRPr="00573CFE" w:rsidRDefault="00573CFE" w:rsidP="00573CFE">
            <w:pPr>
              <w:contextualSpacing w:val="0"/>
              <w:jc w:val="left"/>
              <w:rPr>
                <w:rFonts w:ascii="Calisto MT" w:eastAsia="Times New Roman" w:hAnsi="Calisto MT"/>
                <w:sz w:val="20"/>
                <w:szCs w:val="20"/>
                <w:lang w:val="id-ID"/>
              </w:rPr>
            </w:pPr>
            <w:r w:rsidRPr="00573CFE">
              <w:rPr>
                <w:rFonts w:ascii="Calisto MT" w:eastAsia="Times New Roman" w:hAnsi="Calisto MT"/>
                <w:sz w:val="20"/>
                <w:szCs w:val="20"/>
                <w:lang w:val="id-ID"/>
              </w:rPr>
              <w:t xml:space="preserve">a. Dependent Variable: </w:t>
            </w:r>
            <w:r w:rsidRPr="00573CFE">
              <w:rPr>
                <w:rFonts w:eastAsia="Times New Roman"/>
                <w:szCs w:val="24"/>
                <w:lang w:val="en-US"/>
              </w:rPr>
              <w:t xml:space="preserve"> </w:t>
            </w:r>
            <w:r w:rsidRPr="00573CFE">
              <w:rPr>
                <w:rFonts w:ascii="Calisto MT" w:eastAsia="Times New Roman" w:hAnsi="Calisto MT"/>
                <w:sz w:val="20"/>
                <w:szCs w:val="20"/>
                <w:lang w:val="id-ID"/>
              </w:rPr>
              <w:t>Pro-Environmental</w:t>
            </w:r>
          </w:p>
        </w:tc>
      </w:tr>
    </w:tbl>
    <w:p w14:paraId="4C57FDF3" w14:textId="77777777" w:rsidR="00F60725" w:rsidRDefault="00F60725" w:rsidP="00F60725">
      <w:pPr>
        <w:pStyle w:val="ListParagraph"/>
        <w:ind w:left="0" w:firstLine="720"/>
        <w:rPr>
          <w:bCs/>
          <w:sz w:val="22"/>
          <w:lang w:val="id-ID" w:eastAsia="zh-CN" w:bidi="en-US"/>
        </w:rPr>
      </w:pPr>
      <w:r w:rsidRPr="00573CFE">
        <w:rPr>
          <w:bCs/>
          <w:sz w:val="22"/>
          <w:lang w:val="id-ID" w:eastAsia="zh-CN" w:bidi="en-US"/>
        </w:rPr>
        <w:t>Berdasarkan hasil analisis tabel 4. Bahwa nilai a= 35,104 dan nilai B= 0,422. Dengan garis regresi y= a +bx sehingga persamaan regresinya adalah y= 35,104 + 0,422x.</w:t>
      </w:r>
    </w:p>
    <w:p w14:paraId="66B62985" w14:textId="77777777" w:rsidR="00573CFE" w:rsidRPr="00573CFE" w:rsidRDefault="00573CFE" w:rsidP="00573CFE">
      <w:pPr>
        <w:pStyle w:val="ListParagraph"/>
        <w:ind w:left="0"/>
        <w:jc w:val="center"/>
        <w:rPr>
          <w:b/>
          <w:bCs/>
          <w:sz w:val="22"/>
          <w:lang w:val="id-ID" w:eastAsia="zh-CN" w:bidi="en-US"/>
        </w:rPr>
      </w:pPr>
      <w:r w:rsidRPr="00573CFE">
        <w:rPr>
          <w:b/>
          <w:bCs/>
          <w:sz w:val="22"/>
          <w:lang w:val="id-ID" w:eastAsia="zh-CN" w:bidi="en-US"/>
        </w:rPr>
        <w:t>Tabel 5. uji Anova</w:t>
      </w:r>
    </w:p>
    <w:tbl>
      <w:tblPr>
        <w:tblW w:w="4954"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8"/>
        <w:gridCol w:w="1042"/>
        <w:gridCol w:w="900"/>
        <w:gridCol w:w="577"/>
        <w:gridCol w:w="938"/>
        <w:gridCol w:w="683"/>
        <w:gridCol w:w="686"/>
      </w:tblGrid>
      <w:tr w:rsidR="00573CFE" w:rsidRPr="00573CFE" w14:paraId="4F7E8DED" w14:textId="77777777" w:rsidTr="00573CFE">
        <w:trPr>
          <w:cantSplit/>
          <w:trHeight w:val="252"/>
          <w:jc w:val="center"/>
        </w:trPr>
        <w:tc>
          <w:tcPr>
            <w:tcW w:w="1170" w:type="dxa"/>
            <w:gridSpan w:val="2"/>
            <w:tcBorders>
              <w:top w:val="single" w:sz="4" w:space="0" w:color="auto"/>
              <w:bottom w:val="single" w:sz="4" w:space="0" w:color="auto"/>
            </w:tcBorders>
            <w:shd w:val="clear" w:color="auto" w:fill="FFFFFF"/>
            <w:vAlign w:val="center"/>
          </w:tcPr>
          <w:p w14:paraId="7563AFC6" w14:textId="77777777" w:rsidR="00573CFE" w:rsidRPr="00573CFE" w:rsidRDefault="00573CFE" w:rsidP="00573CFE">
            <w:pPr>
              <w:contextualSpacing w:val="0"/>
              <w:jc w:val="center"/>
              <w:rPr>
                <w:rFonts w:ascii="Calisto MT" w:eastAsia="Times New Roman" w:hAnsi="Calisto MT"/>
                <w:b/>
                <w:bCs/>
                <w:sz w:val="20"/>
                <w:szCs w:val="20"/>
                <w:lang w:val="id-ID"/>
              </w:rPr>
            </w:pPr>
            <w:r w:rsidRPr="00573CFE">
              <w:rPr>
                <w:rFonts w:ascii="Calisto MT" w:eastAsia="Times New Roman" w:hAnsi="Calisto MT"/>
                <w:b/>
                <w:bCs/>
                <w:sz w:val="20"/>
                <w:szCs w:val="20"/>
                <w:lang w:val="id-ID"/>
              </w:rPr>
              <w:t>Model</w:t>
            </w:r>
          </w:p>
        </w:tc>
        <w:tc>
          <w:tcPr>
            <w:tcW w:w="900" w:type="dxa"/>
            <w:tcBorders>
              <w:top w:val="single" w:sz="4" w:space="0" w:color="auto"/>
              <w:bottom w:val="single" w:sz="4" w:space="0" w:color="auto"/>
            </w:tcBorders>
            <w:shd w:val="clear" w:color="auto" w:fill="FFFFFF"/>
            <w:vAlign w:val="center"/>
          </w:tcPr>
          <w:p w14:paraId="0C5B44AE" w14:textId="77777777" w:rsidR="00573CFE" w:rsidRPr="00573CFE" w:rsidRDefault="00573CFE" w:rsidP="00573CFE">
            <w:pPr>
              <w:contextualSpacing w:val="0"/>
              <w:jc w:val="center"/>
              <w:rPr>
                <w:rFonts w:ascii="Calisto MT" w:eastAsia="Times New Roman" w:hAnsi="Calisto MT"/>
                <w:b/>
                <w:bCs/>
                <w:sz w:val="20"/>
                <w:szCs w:val="20"/>
                <w:lang w:val="id-ID"/>
              </w:rPr>
            </w:pPr>
            <w:r w:rsidRPr="00573CFE">
              <w:rPr>
                <w:rFonts w:ascii="Calisto MT" w:eastAsia="Times New Roman" w:hAnsi="Calisto MT"/>
                <w:b/>
                <w:bCs/>
                <w:sz w:val="20"/>
                <w:szCs w:val="20"/>
                <w:lang w:val="id-ID"/>
              </w:rPr>
              <w:t>Sum of Squares</w:t>
            </w:r>
          </w:p>
        </w:tc>
        <w:tc>
          <w:tcPr>
            <w:tcW w:w="577" w:type="dxa"/>
            <w:tcBorders>
              <w:top w:val="single" w:sz="4" w:space="0" w:color="auto"/>
              <w:bottom w:val="single" w:sz="4" w:space="0" w:color="auto"/>
            </w:tcBorders>
            <w:shd w:val="clear" w:color="auto" w:fill="FFFFFF"/>
            <w:vAlign w:val="center"/>
          </w:tcPr>
          <w:p w14:paraId="24668388" w14:textId="77777777" w:rsidR="00573CFE" w:rsidRPr="00573CFE" w:rsidRDefault="00573CFE" w:rsidP="00573CFE">
            <w:pPr>
              <w:contextualSpacing w:val="0"/>
              <w:jc w:val="center"/>
              <w:rPr>
                <w:rFonts w:ascii="Calisto MT" w:eastAsia="Times New Roman" w:hAnsi="Calisto MT"/>
                <w:b/>
                <w:bCs/>
                <w:sz w:val="20"/>
                <w:szCs w:val="20"/>
                <w:lang w:val="id-ID"/>
              </w:rPr>
            </w:pPr>
            <w:r w:rsidRPr="00573CFE">
              <w:rPr>
                <w:rFonts w:ascii="Calisto MT" w:eastAsia="Times New Roman" w:hAnsi="Calisto MT"/>
                <w:b/>
                <w:bCs/>
                <w:sz w:val="20"/>
                <w:szCs w:val="20"/>
                <w:lang w:val="id-ID"/>
              </w:rPr>
              <w:t>Df</w:t>
            </w:r>
          </w:p>
        </w:tc>
        <w:tc>
          <w:tcPr>
            <w:tcW w:w="938" w:type="dxa"/>
            <w:tcBorders>
              <w:top w:val="single" w:sz="4" w:space="0" w:color="auto"/>
              <w:bottom w:val="single" w:sz="4" w:space="0" w:color="auto"/>
            </w:tcBorders>
            <w:shd w:val="clear" w:color="auto" w:fill="FFFFFF"/>
            <w:vAlign w:val="center"/>
          </w:tcPr>
          <w:p w14:paraId="0BD0B45A" w14:textId="77777777" w:rsidR="00573CFE" w:rsidRPr="00573CFE" w:rsidRDefault="00573CFE" w:rsidP="00573CFE">
            <w:pPr>
              <w:contextualSpacing w:val="0"/>
              <w:jc w:val="center"/>
              <w:rPr>
                <w:rFonts w:ascii="Calisto MT" w:eastAsia="Times New Roman" w:hAnsi="Calisto MT"/>
                <w:b/>
                <w:bCs/>
                <w:sz w:val="20"/>
                <w:szCs w:val="20"/>
                <w:lang w:val="id-ID"/>
              </w:rPr>
            </w:pPr>
            <w:r w:rsidRPr="00573CFE">
              <w:rPr>
                <w:rFonts w:ascii="Calisto MT" w:eastAsia="Times New Roman" w:hAnsi="Calisto MT"/>
                <w:b/>
                <w:bCs/>
                <w:sz w:val="20"/>
                <w:szCs w:val="20"/>
                <w:lang w:val="id-ID"/>
              </w:rPr>
              <w:t>Mean Square</w:t>
            </w:r>
          </w:p>
        </w:tc>
        <w:tc>
          <w:tcPr>
            <w:tcW w:w="683" w:type="dxa"/>
            <w:tcBorders>
              <w:top w:val="single" w:sz="4" w:space="0" w:color="auto"/>
              <w:bottom w:val="single" w:sz="4" w:space="0" w:color="auto"/>
            </w:tcBorders>
            <w:shd w:val="clear" w:color="auto" w:fill="FFFFFF"/>
            <w:vAlign w:val="center"/>
          </w:tcPr>
          <w:p w14:paraId="60A3A028" w14:textId="77777777" w:rsidR="00573CFE" w:rsidRPr="00573CFE" w:rsidRDefault="00573CFE" w:rsidP="00573CFE">
            <w:pPr>
              <w:contextualSpacing w:val="0"/>
              <w:jc w:val="center"/>
              <w:rPr>
                <w:rFonts w:ascii="Calisto MT" w:eastAsia="Times New Roman" w:hAnsi="Calisto MT"/>
                <w:b/>
                <w:bCs/>
                <w:sz w:val="20"/>
                <w:szCs w:val="20"/>
                <w:lang w:val="id-ID"/>
              </w:rPr>
            </w:pPr>
            <w:r w:rsidRPr="00573CFE">
              <w:rPr>
                <w:rFonts w:ascii="Calisto MT" w:eastAsia="Times New Roman" w:hAnsi="Calisto MT"/>
                <w:b/>
                <w:bCs/>
                <w:sz w:val="20"/>
                <w:szCs w:val="20"/>
                <w:lang w:val="id-ID"/>
              </w:rPr>
              <w:t>F</w:t>
            </w:r>
          </w:p>
        </w:tc>
        <w:tc>
          <w:tcPr>
            <w:tcW w:w="686" w:type="dxa"/>
            <w:tcBorders>
              <w:top w:val="single" w:sz="4" w:space="0" w:color="auto"/>
              <w:bottom w:val="single" w:sz="4" w:space="0" w:color="auto"/>
            </w:tcBorders>
            <w:shd w:val="clear" w:color="auto" w:fill="FFFFFF"/>
            <w:vAlign w:val="center"/>
          </w:tcPr>
          <w:p w14:paraId="004418F8" w14:textId="77777777" w:rsidR="00573CFE" w:rsidRPr="00573CFE" w:rsidRDefault="00573CFE" w:rsidP="00573CFE">
            <w:pPr>
              <w:contextualSpacing w:val="0"/>
              <w:jc w:val="center"/>
              <w:rPr>
                <w:rFonts w:ascii="Calisto MT" w:eastAsia="Times New Roman" w:hAnsi="Calisto MT"/>
                <w:b/>
                <w:bCs/>
                <w:sz w:val="20"/>
                <w:szCs w:val="20"/>
                <w:lang w:val="id-ID"/>
              </w:rPr>
            </w:pPr>
            <w:r w:rsidRPr="00573CFE">
              <w:rPr>
                <w:rFonts w:ascii="Calisto MT" w:eastAsia="Times New Roman" w:hAnsi="Calisto MT"/>
                <w:b/>
                <w:bCs/>
                <w:sz w:val="20"/>
                <w:szCs w:val="20"/>
                <w:lang w:val="id-ID"/>
              </w:rPr>
              <w:t>Sig.</w:t>
            </w:r>
          </w:p>
        </w:tc>
      </w:tr>
      <w:tr w:rsidR="00573CFE" w:rsidRPr="00573CFE" w14:paraId="03289387" w14:textId="77777777" w:rsidTr="00573CFE">
        <w:trPr>
          <w:cantSplit/>
          <w:trHeight w:val="252"/>
          <w:jc w:val="center"/>
        </w:trPr>
        <w:tc>
          <w:tcPr>
            <w:tcW w:w="128" w:type="dxa"/>
            <w:vMerge w:val="restart"/>
            <w:tcBorders>
              <w:top w:val="single" w:sz="4" w:space="0" w:color="auto"/>
            </w:tcBorders>
            <w:shd w:val="clear" w:color="auto" w:fill="E0E0E0"/>
          </w:tcPr>
          <w:p w14:paraId="4517A0E7"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1</w:t>
            </w:r>
          </w:p>
        </w:tc>
        <w:tc>
          <w:tcPr>
            <w:tcW w:w="1042" w:type="dxa"/>
            <w:tcBorders>
              <w:top w:val="single" w:sz="4" w:space="0" w:color="auto"/>
            </w:tcBorders>
            <w:shd w:val="clear" w:color="auto" w:fill="E0E0E0"/>
            <w:vAlign w:val="center"/>
          </w:tcPr>
          <w:p w14:paraId="3684A40C"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Regression</w:t>
            </w:r>
          </w:p>
        </w:tc>
        <w:tc>
          <w:tcPr>
            <w:tcW w:w="900" w:type="dxa"/>
            <w:tcBorders>
              <w:top w:val="single" w:sz="4" w:space="0" w:color="auto"/>
            </w:tcBorders>
            <w:shd w:val="clear" w:color="auto" w:fill="FFFFFF"/>
            <w:vAlign w:val="center"/>
          </w:tcPr>
          <w:p w14:paraId="199629F1"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2297,507</w:t>
            </w:r>
          </w:p>
        </w:tc>
        <w:tc>
          <w:tcPr>
            <w:tcW w:w="577" w:type="dxa"/>
            <w:tcBorders>
              <w:top w:val="single" w:sz="4" w:space="0" w:color="auto"/>
            </w:tcBorders>
            <w:shd w:val="clear" w:color="auto" w:fill="FFFFFF"/>
            <w:vAlign w:val="center"/>
          </w:tcPr>
          <w:p w14:paraId="30D3C444"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1</w:t>
            </w:r>
          </w:p>
        </w:tc>
        <w:tc>
          <w:tcPr>
            <w:tcW w:w="938" w:type="dxa"/>
            <w:tcBorders>
              <w:top w:val="single" w:sz="4" w:space="0" w:color="auto"/>
            </w:tcBorders>
            <w:shd w:val="clear" w:color="auto" w:fill="FFFFFF"/>
            <w:vAlign w:val="center"/>
          </w:tcPr>
          <w:p w14:paraId="471D23A5"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2297,507</w:t>
            </w:r>
          </w:p>
        </w:tc>
        <w:tc>
          <w:tcPr>
            <w:tcW w:w="683" w:type="dxa"/>
            <w:tcBorders>
              <w:top w:val="single" w:sz="4" w:space="0" w:color="auto"/>
            </w:tcBorders>
            <w:shd w:val="clear" w:color="auto" w:fill="FFFFFF"/>
            <w:vAlign w:val="center"/>
          </w:tcPr>
          <w:p w14:paraId="43ED3A99"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23,761</w:t>
            </w:r>
          </w:p>
        </w:tc>
        <w:tc>
          <w:tcPr>
            <w:tcW w:w="686" w:type="dxa"/>
            <w:tcBorders>
              <w:top w:val="single" w:sz="4" w:space="0" w:color="auto"/>
            </w:tcBorders>
            <w:shd w:val="clear" w:color="auto" w:fill="FFFFFF"/>
            <w:vAlign w:val="center"/>
          </w:tcPr>
          <w:p w14:paraId="7EEDC842"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,000</w:t>
            </w:r>
            <w:r w:rsidRPr="00573CFE">
              <w:rPr>
                <w:rFonts w:ascii="Calisto MT" w:eastAsia="Times New Roman" w:hAnsi="Calisto MT"/>
                <w:sz w:val="20"/>
                <w:szCs w:val="20"/>
                <w:vertAlign w:val="superscript"/>
                <w:lang w:val="id-ID"/>
              </w:rPr>
              <w:t>b</w:t>
            </w:r>
          </w:p>
        </w:tc>
      </w:tr>
      <w:tr w:rsidR="00573CFE" w:rsidRPr="00573CFE" w14:paraId="7411E7F8" w14:textId="77777777" w:rsidTr="00573CFE">
        <w:trPr>
          <w:cantSplit/>
          <w:trHeight w:val="161"/>
          <w:jc w:val="center"/>
        </w:trPr>
        <w:tc>
          <w:tcPr>
            <w:tcW w:w="128" w:type="dxa"/>
            <w:vMerge/>
            <w:shd w:val="clear" w:color="auto" w:fill="E0E0E0"/>
          </w:tcPr>
          <w:p w14:paraId="46B045C9" w14:textId="77777777" w:rsidR="00573CFE" w:rsidRPr="00573CFE" w:rsidRDefault="00573CFE" w:rsidP="00573CFE">
            <w:pPr>
              <w:contextualSpacing w:val="0"/>
              <w:rPr>
                <w:rFonts w:ascii="Calisto MT" w:eastAsia="Times New Roman" w:hAnsi="Calisto MT"/>
                <w:sz w:val="20"/>
                <w:szCs w:val="20"/>
                <w:lang w:val="id-ID"/>
              </w:rPr>
            </w:pPr>
          </w:p>
        </w:tc>
        <w:tc>
          <w:tcPr>
            <w:tcW w:w="1042" w:type="dxa"/>
            <w:shd w:val="clear" w:color="auto" w:fill="E0E0E0"/>
            <w:vAlign w:val="center"/>
          </w:tcPr>
          <w:p w14:paraId="7371FC25"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Residual</w:t>
            </w:r>
          </w:p>
        </w:tc>
        <w:tc>
          <w:tcPr>
            <w:tcW w:w="900" w:type="dxa"/>
            <w:shd w:val="clear" w:color="auto" w:fill="FFFFFF"/>
            <w:vAlign w:val="center"/>
          </w:tcPr>
          <w:p w14:paraId="76E31D43"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8412,269</w:t>
            </w:r>
          </w:p>
        </w:tc>
        <w:tc>
          <w:tcPr>
            <w:tcW w:w="577" w:type="dxa"/>
            <w:shd w:val="clear" w:color="auto" w:fill="FFFFFF"/>
            <w:vAlign w:val="center"/>
          </w:tcPr>
          <w:p w14:paraId="01E67D11"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87</w:t>
            </w:r>
          </w:p>
        </w:tc>
        <w:tc>
          <w:tcPr>
            <w:tcW w:w="938" w:type="dxa"/>
            <w:shd w:val="clear" w:color="auto" w:fill="FFFFFF"/>
            <w:vAlign w:val="center"/>
          </w:tcPr>
          <w:p w14:paraId="0258B40B"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96,693</w:t>
            </w:r>
          </w:p>
        </w:tc>
        <w:tc>
          <w:tcPr>
            <w:tcW w:w="683" w:type="dxa"/>
            <w:shd w:val="clear" w:color="auto" w:fill="FFFFFF"/>
            <w:vAlign w:val="center"/>
          </w:tcPr>
          <w:p w14:paraId="1FFFCCB0" w14:textId="77777777" w:rsidR="00573CFE" w:rsidRPr="00573CFE" w:rsidRDefault="00573CFE" w:rsidP="00573CFE">
            <w:pPr>
              <w:contextualSpacing w:val="0"/>
              <w:jc w:val="center"/>
              <w:rPr>
                <w:rFonts w:ascii="Calisto MT" w:eastAsia="Times New Roman" w:hAnsi="Calisto MT"/>
                <w:sz w:val="20"/>
                <w:szCs w:val="20"/>
                <w:lang w:val="id-ID"/>
              </w:rPr>
            </w:pPr>
          </w:p>
        </w:tc>
        <w:tc>
          <w:tcPr>
            <w:tcW w:w="686" w:type="dxa"/>
            <w:shd w:val="clear" w:color="auto" w:fill="FFFFFF"/>
            <w:vAlign w:val="center"/>
          </w:tcPr>
          <w:p w14:paraId="335C3960" w14:textId="77777777" w:rsidR="00573CFE" w:rsidRPr="00573CFE" w:rsidRDefault="00573CFE" w:rsidP="00573CFE">
            <w:pPr>
              <w:contextualSpacing w:val="0"/>
              <w:jc w:val="center"/>
              <w:rPr>
                <w:rFonts w:ascii="Calisto MT" w:eastAsia="Times New Roman" w:hAnsi="Calisto MT"/>
                <w:sz w:val="20"/>
                <w:szCs w:val="20"/>
                <w:lang w:val="id-ID"/>
              </w:rPr>
            </w:pPr>
          </w:p>
        </w:tc>
      </w:tr>
      <w:tr w:rsidR="00573CFE" w:rsidRPr="00573CFE" w14:paraId="1A680B78" w14:textId="77777777" w:rsidTr="00573CFE">
        <w:trPr>
          <w:cantSplit/>
          <w:trHeight w:val="161"/>
          <w:jc w:val="center"/>
        </w:trPr>
        <w:tc>
          <w:tcPr>
            <w:tcW w:w="128" w:type="dxa"/>
            <w:vMerge/>
            <w:shd w:val="clear" w:color="auto" w:fill="E0E0E0"/>
          </w:tcPr>
          <w:p w14:paraId="6DFD1BF6" w14:textId="77777777" w:rsidR="00573CFE" w:rsidRPr="00573CFE" w:rsidRDefault="00573CFE" w:rsidP="00573CFE">
            <w:pPr>
              <w:contextualSpacing w:val="0"/>
              <w:rPr>
                <w:rFonts w:ascii="Calisto MT" w:eastAsia="Times New Roman" w:hAnsi="Calisto MT"/>
                <w:sz w:val="20"/>
                <w:szCs w:val="20"/>
                <w:lang w:val="id-ID"/>
              </w:rPr>
            </w:pPr>
          </w:p>
        </w:tc>
        <w:tc>
          <w:tcPr>
            <w:tcW w:w="1042" w:type="dxa"/>
            <w:shd w:val="clear" w:color="auto" w:fill="E0E0E0"/>
            <w:vAlign w:val="center"/>
          </w:tcPr>
          <w:p w14:paraId="2226AAC6"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Total</w:t>
            </w:r>
          </w:p>
        </w:tc>
        <w:tc>
          <w:tcPr>
            <w:tcW w:w="900" w:type="dxa"/>
            <w:shd w:val="clear" w:color="auto" w:fill="FFFFFF"/>
            <w:vAlign w:val="center"/>
          </w:tcPr>
          <w:p w14:paraId="407231E4"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10709,775</w:t>
            </w:r>
          </w:p>
        </w:tc>
        <w:tc>
          <w:tcPr>
            <w:tcW w:w="577" w:type="dxa"/>
            <w:shd w:val="clear" w:color="auto" w:fill="FFFFFF"/>
            <w:vAlign w:val="center"/>
          </w:tcPr>
          <w:p w14:paraId="77F0C800" w14:textId="77777777" w:rsidR="00573CFE" w:rsidRPr="00573CFE" w:rsidRDefault="00573CFE" w:rsidP="00573CFE">
            <w:pPr>
              <w:contextualSpacing w:val="0"/>
              <w:jc w:val="center"/>
              <w:rPr>
                <w:rFonts w:ascii="Calisto MT" w:eastAsia="Times New Roman" w:hAnsi="Calisto MT"/>
                <w:sz w:val="20"/>
                <w:szCs w:val="20"/>
                <w:lang w:val="id-ID"/>
              </w:rPr>
            </w:pPr>
            <w:r w:rsidRPr="00573CFE">
              <w:rPr>
                <w:rFonts w:ascii="Calisto MT" w:eastAsia="Times New Roman" w:hAnsi="Calisto MT"/>
                <w:sz w:val="20"/>
                <w:szCs w:val="20"/>
                <w:lang w:val="id-ID"/>
              </w:rPr>
              <w:t>88</w:t>
            </w:r>
          </w:p>
        </w:tc>
        <w:tc>
          <w:tcPr>
            <w:tcW w:w="938" w:type="dxa"/>
            <w:shd w:val="clear" w:color="auto" w:fill="FFFFFF"/>
            <w:vAlign w:val="center"/>
          </w:tcPr>
          <w:p w14:paraId="6B358F79" w14:textId="77777777" w:rsidR="00573CFE" w:rsidRPr="00573CFE" w:rsidRDefault="00573CFE" w:rsidP="00573CFE">
            <w:pPr>
              <w:contextualSpacing w:val="0"/>
              <w:jc w:val="center"/>
              <w:rPr>
                <w:rFonts w:ascii="Calisto MT" w:eastAsia="Times New Roman" w:hAnsi="Calisto MT"/>
                <w:sz w:val="20"/>
                <w:szCs w:val="20"/>
                <w:lang w:val="id-ID"/>
              </w:rPr>
            </w:pPr>
          </w:p>
        </w:tc>
        <w:tc>
          <w:tcPr>
            <w:tcW w:w="683" w:type="dxa"/>
            <w:shd w:val="clear" w:color="auto" w:fill="FFFFFF"/>
            <w:vAlign w:val="center"/>
          </w:tcPr>
          <w:p w14:paraId="00CE0F52" w14:textId="77777777" w:rsidR="00573CFE" w:rsidRPr="00573CFE" w:rsidRDefault="00573CFE" w:rsidP="00573CFE">
            <w:pPr>
              <w:contextualSpacing w:val="0"/>
              <w:jc w:val="center"/>
              <w:rPr>
                <w:rFonts w:ascii="Calisto MT" w:eastAsia="Times New Roman" w:hAnsi="Calisto MT"/>
                <w:sz w:val="20"/>
                <w:szCs w:val="20"/>
                <w:lang w:val="id-ID"/>
              </w:rPr>
            </w:pPr>
          </w:p>
        </w:tc>
        <w:tc>
          <w:tcPr>
            <w:tcW w:w="686" w:type="dxa"/>
            <w:shd w:val="clear" w:color="auto" w:fill="FFFFFF"/>
            <w:vAlign w:val="center"/>
          </w:tcPr>
          <w:p w14:paraId="7C2E61BA" w14:textId="77777777" w:rsidR="00573CFE" w:rsidRPr="00573CFE" w:rsidRDefault="00573CFE" w:rsidP="00573CFE">
            <w:pPr>
              <w:contextualSpacing w:val="0"/>
              <w:jc w:val="center"/>
              <w:rPr>
                <w:rFonts w:ascii="Calisto MT" w:eastAsia="Times New Roman" w:hAnsi="Calisto MT"/>
                <w:sz w:val="20"/>
                <w:szCs w:val="20"/>
                <w:lang w:val="id-ID"/>
              </w:rPr>
            </w:pPr>
          </w:p>
        </w:tc>
      </w:tr>
    </w:tbl>
    <w:p w14:paraId="248CB304" w14:textId="77777777" w:rsidR="00F60725" w:rsidRPr="00573CFE" w:rsidRDefault="00F60725" w:rsidP="00573CFE">
      <w:pPr>
        <w:pStyle w:val="ListParagraph"/>
        <w:ind w:left="0" w:firstLine="709"/>
        <w:rPr>
          <w:bCs/>
          <w:sz w:val="22"/>
          <w:lang w:val="id-ID" w:eastAsia="zh-CN" w:bidi="en-US"/>
        </w:rPr>
      </w:pPr>
      <w:r w:rsidRPr="00573CFE">
        <w:rPr>
          <w:bCs/>
          <w:sz w:val="22"/>
          <w:lang w:val="id-ID" w:eastAsia="zh-CN" w:bidi="en-US"/>
        </w:rPr>
        <w:t>Diketahui nilai F</w:t>
      </w:r>
      <w:r w:rsidRPr="00573CFE">
        <w:rPr>
          <w:bCs/>
          <w:sz w:val="22"/>
          <w:vertAlign w:val="subscript"/>
          <w:lang w:val="id-ID" w:eastAsia="zh-CN" w:bidi="en-US"/>
        </w:rPr>
        <w:t xml:space="preserve">hitung </w:t>
      </w:r>
      <w:r w:rsidRPr="00573CFE">
        <w:rPr>
          <w:bCs/>
          <w:sz w:val="22"/>
          <w:lang w:val="id-ID" w:eastAsia="zh-CN" w:bidi="en-US"/>
        </w:rPr>
        <w:t>23,761 dengan tingkat signifikansi sebesar 0.000 &lt; 0.05, maka model regresi dapat di pakai untuk memprediksi variabel NEP atau dengan kata lain ada pengaruh variabel NEP (X) terhadap variabel perilaku pro lingkungan (Y). Arah koefisien linieritas regresinya tampak paga gambar 9 sebagai berikut :</w:t>
      </w:r>
    </w:p>
    <w:p w14:paraId="44BC71AD" w14:textId="77777777" w:rsidR="00F60725" w:rsidRPr="00573CFE" w:rsidRDefault="00F60725" w:rsidP="00F60725">
      <w:pPr>
        <w:pStyle w:val="ListParagraph"/>
        <w:ind w:firstLine="720"/>
        <w:rPr>
          <w:b/>
          <w:bCs/>
          <w:sz w:val="22"/>
          <w:lang w:val="id-ID" w:eastAsia="zh-CN" w:bidi="en-US"/>
        </w:rPr>
      </w:pPr>
    </w:p>
    <w:p w14:paraId="0C61CFCB" w14:textId="77777777" w:rsidR="00F60725" w:rsidRPr="00F60725" w:rsidRDefault="00F60725" w:rsidP="00573CFE">
      <w:pPr>
        <w:pStyle w:val="ListParagraph"/>
        <w:ind w:hanging="720"/>
        <w:jc w:val="center"/>
        <w:rPr>
          <w:b/>
          <w:bCs/>
          <w:sz w:val="22"/>
          <w:lang w:val="en-US" w:eastAsia="zh-CN" w:bidi="en-US"/>
        </w:rPr>
      </w:pPr>
      <w:r w:rsidRPr="00F60725">
        <w:rPr>
          <w:b/>
          <w:bCs/>
          <w:noProof/>
          <w:sz w:val="22"/>
          <w:lang w:val="en-US"/>
        </w:rPr>
        <w:drawing>
          <wp:inline distT="0" distB="0" distL="0" distR="0" wp14:anchorId="4126C000" wp14:editId="06A089A9">
            <wp:extent cx="2961640" cy="1824990"/>
            <wp:effectExtent l="0" t="0" r="10160" b="381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6D5F56" w14:textId="77777777" w:rsidR="00F60725" w:rsidRPr="00F60725" w:rsidRDefault="00F60725" w:rsidP="00F60725">
      <w:pPr>
        <w:pStyle w:val="ListParagraph"/>
        <w:ind w:firstLine="720"/>
        <w:rPr>
          <w:b/>
          <w:bCs/>
          <w:sz w:val="22"/>
          <w:lang w:val="en-US" w:eastAsia="zh-CN" w:bidi="en-US"/>
        </w:rPr>
      </w:pPr>
    </w:p>
    <w:p w14:paraId="41EF2FBF" w14:textId="77777777" w:rsidR="00F60725" w:rsidRDefault="00F60725" w:rsidP="00573CFE">
      <w:pPr>
        <w:pStyle w:val="ListParagraph"/>
        <w:ind w:left="0"/>
        <w:jc w:val="center"/>
        <w:rPr>
          <w:b/>
          <w:bCs/>
          <w:sz w:val="22"/>
          <w:lang w:val="id-ID" w:eastAsia="zh-CN" w:bidi="en-US"/>
        </w:rPr>
      </w:pPr>
      <w:r w:rsidRPr="00F60725">
        <w:rPr>
          <w:b/>
          <w:bCs/>
          <w:sz w:val="22"/>
          <w:lang w:val="id-ID" w:eastAsia="zh-CN" w:bidi="en-US"/>
        </w:rPr>
        <w:t xml:space="preserve">Gambar </w:t>
      </w:r>
      <w:r w:rsidRPr="00F60725">
        <w:rPr>
          <w:b/>
          <w:bCs/>
          <w:sz w:val="22"/>
          <w:lang w:val="en-US" w:eastAsia="zh-CN" w:bidi="en-US"/>
        </w:rPr>
        <w:t>3</w:t>
      </w:r>
      <w:r w:rsidRPr="00F60725">
        <w:rPr>
          <w:b/>
          <w:bCs/>
          <w:sz w:val="22"/>
          <w:lang w:val="id-ID" w:eastAsia="zh-CN" w:bidi="en-US"/>
        </w:rPr>
        <w:t xml:space="preserve">. </w:t>
      </w:r>
      <w:r w:rsidRPr="007C0747">
        <w:rPr>
          <w:sz w:val="22"/>
          <w:lang w:val="id-ID" w:eastAsia="zh-CN" w:bidi="en-US"/>
        </w:rPr>
        <w:t>Garis Regresi</w:t>
      </w:r>
    </w:p>
    <w:p w14:paraId="1007937F" w14:textId="77777777" w:rsidR="00573CFE" w:rsidRDefault="00573CFE" w:rsidP="00573CFE">
      <w:pPr>
        <w:pStyle w:val="ListParagraph"/>
        <w:ind w:left="0"/>
        <w:jc w:val="center"/>
        <w:rPr>
          <w:b/>
          <w:bCs/>
          <w:sz w:val="22"/>
          <w:lang w:val="id-ID" w:eastAsia="zh-CN" w:bidi="en-US"/>
        </w:rPr>
      </w:pPr>
    </w:p>
    <w:p w14:paraId="0DB23233" w14:textId="77777777" w:rsidR="00573CFE" w:rsidRDefault="00573CFE" w:rsidP="00573CFE">
      <w:pPr>
        <w:pStyle w:val="ListParagraph"/>
        <w:ind w:left="0"/>
        <w:jc w:val="center"/>
        <w:rPr>
          <w:b/>
          <w:bCs/>
          <w:sz w:val="22"/>
          <w:lang w:val="id-ID" w:eastAsia="zh-CN" w:bidi="en-US"/>
        </w:rPr>
      </w:pPr>
    </w:p>
    <w:p w14:paraId="083C97D0" w14:textId="77777777" w:rsidR="00573CFE" w:rsidRDefault="00573CFE" w:rsidP="00573CFE">
      <w:pPr>
        <w:pStyle w:val="ListParagraph"/>
        <w:ind w:left="0"/>
        <w:jc w:val="center"/>
        <w:rPr>
          <w:b/>
          <w:bCs/>
          <w:sz w:val="22"/>
          <w:lang w:val="id-ID" w:eastAsia="zh-CN" w:bidi="en-US"/>
        </w:rPr>
      </w:pPr>
    </w:p>
    <w:p w14:paraId="1798AC67" w14:textId="77777777" w:rsidR="00573CFE" w:rsidRDefault="00573CFE" w:rsidP="00573CFE">
      <w:pPr>
        <w:pStyle w:val="ListParagraph"/>
        <w:ind w:left="0"/>
        <w:jc w:val="center"/>
        <w:rPr>
          <w:b/>
          <w:bCs/>
          <w:sz w:val="22"/>
          <w:lang w:val="id-ID" w:eastAsia="zh-CN" w:bidi="en-US"/>
        </w:rPr>
      </w:pPr>
    </w:p>
    <w:p w14:paraId="571ABAD7" w14:textId="77777777" w:rsidR="00573CFE" w:rsidRDefault="00573CFE" w:rsidP="00573CFE">
      <w:pPr>
        <w:pStyle w:val="ListParagraph"/>
        <w:ind w:left="0"/>
        <w:jc w:val="center"/>
        <w:rPr>
          <w:b/>
          <w:bCs/>
          <w:sz w:val="22"/>
          <w:lang w:val="id-ID" w:eastAsia="zh-CN" w:bidi="en-US"/>
        </w:rPr>
      </w:pPr>
    </w:p>
    <w:p w14:paraId="377EB8A0" w14:textId="77777777" w:rsidR="00573CFE" w:rsidRDefault="00573CFE" w:rsidP="00573CFE">
      <w:pPr>
        <w:pStyle w:val="ListParagraph"/>
        <w:ind w:left="0"/>
        <w:jc w:val="center"/>
        <w:rPr>
          <w:b/>
          <w:bCs/>
          <w:sz w:val="22"/>
          <w:lang w:val="id-ID" w:eastAsia="zh-CN" w:bidi="en-US"/>
        </w:rPr>
      </w:pPr>
    </w:p>
    <w:p w14:paraId="6277F74A" w14:textId="77777777" w:rsidR="00573CFE" w:rsidRDefault="00573CFE" w:rsidP="00776F95">
      <w:pPr>
        <w:pStyle w:val="ListParagraph"/>
        <w:ind w:left="0"/>
        <w:rPr>
          <w:b/>
          <w:bCs/>
          <w:sz w:val="22"/>
          <w:lang w:val="id-ID" w:eastAsia="zh-CN" w:bidi="en-US"/>
        </w:rPr>
      </w:pPr>
    </w:p>
    <w:p w14:paraId="2F56B71D" w14:textId="77777777" w:rsidR="00F60725" w:rsidRPr="00F60725" w:rsidRDefault="00F60725" w:rsidP="00573CFE">
      <w:pPr>
        <w:pStyle w:val="ListParagraph"/>
        <w:numPr>
          <w:ilvl w:val="0"/>
          <w:numId w:val="13"/>
        </w:numPr>
        <w:ind w:left="284" w:hanging="284"/>
        <w:rPr>
          <w:bCs/>
          <w:sz w:val="22"/>
          <w:lang w:val="en-US" w:eastAsia="zh-CN" w:bidi="en-US"/>
        </w:rPr>
      </w:pPr>
      <w:r w:rsidRPr="00F60725">
        <w:rPr>
          <w:bCs/>
          <w:sz w:val="22"/>
          <w:lang w:val="en-US" w:eastAsia="zh-CN" w:bidi="en-US"/>
        </w:rPr>
        <w:t xml:space="preserve">Uji </w:t>
      </w:r>
      <w:proofErr w:type="spellStart"/>
      <w:r w:rsidRPr="00F60725">
        <w:rPr>
          <w:bCs/>
          <w:sz w:val="22"/>
          <w:lang w:val="en-US" w:eastAsia="zh-CN" w:bidi="en-US"/>
        </w:rPr>
        <w:t>hipotesis</w:t>
      </w:r>
      <w:proofErr w:type="spellEnd"/>
    </w:p>
    <w:p w14:paraId="2CBB9639" w14:textId="77777777" w:rsidR="00F60725" w:rsidRPr="00F60725" w:rsidRDefault="00F60725" w:rsidP="00F60725">
      <w:pPr>
        <w:pStyle w:val="ListParagraph"/>
        <w:ind w:left="0" w:firstLine="720"/>
        <w:rPr>
          <w:bCs/>
          <w:sz w:val="22"/>
          <w:lang w:val="en-US" w:eastAsia="zh-CN" w:bidi="en-US"/>
        </w:rPr>
      </w:pPr>
    </w:p>
    <w:p w14:paraId="337ED582" w14:textId="77777777" w:rsidR="00F60725" w:rsidRDefault="00F60725" w:rsidP="00573CFE">
      <w:pPr>
        <w:pStyle w:val="ListParagraph"/>
        <w:ind w:hanging="720"/>
        <w:jc w:val="center"/>
        <w:rPr>
          <w:b/>
          <w:bCs/>
          <w:sz w:val="22"/>
          <w:lang w:val="en-US" w:eastAsia="zh-CN" w:bidi="en-US"/>
        </w:rPr>
      </w:pPr>
      <w:r w:rsidRPr="00573CFE">
        <w:rPr>
          <w:b/>
          <w:bCs/>
          <w:sz w:val="22"/>
          <w:lang w:val="en-US" w:eastAsia="zh-CN" w:bidi="en-US"/>
        </w:rPr>
        <w:t xml:space="preserve">Tabel </w:t>
      </w:r>
      <w:r w:rsidR="00573CFE" w:rsidRPr="00573CFE">
        <w:rPr>
          <w:b/>
          <w:bCs/>
          <w:sz w:val="22"/>
          <w:lang w:val="en-US" w:eastAsia="zh-CN" w:bidi="en-US"/>
        </w:rPr>
        <w:t xml:space="preserve">6. </w:t>
      </w:r>
      <w:r w:rsidRPr="00573CFE">
        <w:rPr>
          <w:b/>
          <w:bCs/>
          <w:sz w:val="22"/>
          <w:lang w:val="en-US" w:eastAsia="zh-CN" w:bidi="en-US"/>
        </w:rPr>
        <w:t xml:space="preserve">Uji </w:t>
      </w:r>
      <w:r w:rsidR="00573CFE" w:rsidRPr="00573CFE">
        <w:rPr>
          <w:b/>
          <w:bCs/>
          <w:sz w:val="22"/>
          <w:lang w:val="en-US" w:eastAsia="zh-CN" w:bidi="en-US"/>
        </w:rPr>
        <w:t>Hipotesis</w:t>
      </w:r>
    </w:p>
    <w:tbl>
      <w:tblPr>
        <w:tblW w:w="0" w:type="auto"/>
        <w:jc w:val="center"/>
        <w:tblBorders>
          <w:top w:val="single" w:sz="4" w:space="0" w:color="auto"/>
          <w:bottom w:val="single" w:sz="4" w:space="0" w:color="auto"/>
        </w:tblBorders>
        <w:tblLook w:val="0000" w:firstRow="0" w:lastRow="0" w:firstColumn="0" w:lastColumn="0" w:noHBand="0" w:noVBand="0"/>
      </w:tblPr>
      <w:tblGrid>
        <w:gridCol w:w="1489"/>
        <w:gridCol w:w="1189"/>
        <w:gridCol w:w="691"/>
        <w:gridCol w:w="1191"/>
      </w:tblGrid>
      <w:tr w:rsidR="00573CFE" w:rsidRPr="00573CFE" w14:paraId="6E3F34C9" w14:textId="77777777" w:rsidTr="00573CFE">
        <w:trPr>
          <w:trHeight w:val="204"/>
          <w:jc w:val="center"/>
        </w:trPr>
        <w:tc>
          <w:tcPr>
            <w:tcW w:w="2362" w:type="dxa"/>
            <w:gridSpan w:val="2"/>
            <w:tcBorders>
              <w:top w:val="single" w:sz="4" w:space="0" w:color="auto"/>
              <w:bottom w:val="single" w:sz="4" w:space="0" w:color="auto"/>
            </w:tcBorders>
            <w:shd w:val="clear" w:color="auto" w:fill="auto"/>
          </w:tcPr>
          <w:p w14:paraId="23D1BD09" w14:textId="77777777" w:rsidR="00573CFE" w:rsidRPr="00573CFE" w:rsidRDefault="00573CFE" w:rsidP="00573CFE">
            <w:pPr>
              <w:autoSpaceDE w:val="0"/>
              <w:autoSpaceDN w:val="0"/>
              <w:adjustRightInd w:val="0"/>
              <w:spacing w:line="276" w:lineRule="auto"/>
              <w:ind w:left="-567"/>
              <w:contextualSpacing w:val="0"/>
              <w:jc w:val="center"/>
              <w:rPr>
                <w:rFonts w:ascii="Calisto MT" w:eastAsia="Times New Roman" w:hAnsi="Calisto MT"/>
                <w:b/>
                <w:color w:val="000000"/>
                <w:sz w:val="20"/>
                <w:szCs w:val="20"/>
                <w:lang w:val="en-US"/>
              </w:rPr>
            </w:pPr>
          </w:p>
        </w:tc>
        <w:tc>
          <w:tcPr>
            <w:tcW w:w="691" w:type="dxa"/>
            <w:tcBorders>
              <w:top w:val="single" w:sz="4" w:space="0" w:color="auto"/>
              <w:bottom w:val="single" w:sz="4" w:space="0" w:color="auto"/>
            </w:tcBorders>
            <w:shd w:val="clear" w:color="auto" w:fill="auto"/>
          </w:tcPr>
          <w:p w14:paraId="404DCFD2" w14:textId="77777777" w:rsidR="00573CFE" w:rsidRPr="00573CFE" w:rsidRDefault="00573CFE" w:rsidP="00573CFE">
            <w:pPr>
              <w:autoSpaceDE w:val="0"/>
              <w:autoSpaceDN w:val="0"/>
              <w:adjustRightInd w:val="0"/>
              <w:spacing w:line="276" w:lineRule="auto"/>
              <w:contextualSpacing w:val="0"/>
              <w:jc w:val="center"/>
              <w:rPr>
                <w:rFonts w:ascii="Calisto MT" w:eastAsia="Times New Roman" w:hAnsi="Calisto MT"/>
                <w:b/>
                <w:color w:val="000000"/>
                <w:sz w:val="20"/>
                <w:szCs w:val="20"/>
                <w:lang w:val="en-US"/>
              </w:rPr>
            </w:pPr>
            <w:r w:rsidRPr="00573CFE">
              <w:rPr>
                <w:rFonts w:ascii="Calisto MT" w:eastAsia="Times New Roman" w:hAnsi="Calisto MT"/>
                <w:b/>
                <w:color w:val="000000"/>
                <w:sz w:val="20"/>
                <w:szCs w:val="20"/>
                <w:lang w:val="en-US"/>
              </w:rPr>
              <w:t>NEP</w:t>
            </w:r>
          </w:p>
        </w:tc>
        <w:tc>
          <w:tcPr>
            <w:tcW w:w="1173" w:type="dxa"/>
            <w:tcBorders>
              <w:top w:val="single" w:sz="4" w:space="0" w:color="auto"/>
              <w:bottom w:val="single" w:sz="4" w:space="0" w:color="auto"/>
            </w:tcBorders>
            <w:shd w:val="clear" w:color="auto" w:fill="auto"/>
          </w:tcPr>
          <w:p w14:paraId="042A850F" w14:textId="77777777" w:rsidR="00573CFE" w:rsidRPr="00573CFE" w:rsidRDefault="00573CFE" w:rsidP="00573CFE">
            <w:pPr>
              <w:autoSpaceDE w:val="0"/>
              <w:autoSpaceDN w:val="0"/>
              <w:adjustRightInd w:val="0"/>
              <w:spacing w:line="276" w:lineRule="auto"/>
              <w:contextualSpacing w:val="0"/>
              <w:jc w:val="center"/>
              <w:rPr>
                <w:rFonts w:ascii="Calisto MT" w:eastAsia="Times New Roman" w:hAnsi="Calisto MT"/>
                <w:b/>
                <w:color w:val="000000"/>
                <w:sz w:val="20"/>
                <w:szCs w:val="20"/>
                <w:lang w:val="en-US"/>
              </w:rPr>
            </w:pPr>
            <w:r w:rsidRPr="00573CFE">
              <w:rPr>
                <w:rFonts w:ascii="Calisto MT" w:eastAsia="Times New Roman" w:hAnsi="Calisto MT"/>
                <w:b/>
                <w:color w:val="000000"/>
                <w:sz w:val="20"/>
                <w:szCs w:val="20"/>
                <w:lang w:val="en-US"/>
              </w:rPr>
              <w:t>PROLING</w:t>
            </w:r>
          </w:p>
        </w:tc>
      </w:tr>
      <w:tr w:rsidR="00573CFE" w:rsidRPr="00573CFE" w14:paraId="1B351851" w14:textId="77777777" w:rsidTr="00573CFE">
        <w:trPr>
          <w:trHeight w:val="195"/>
          <w:jc w:val="center"/>
        </w:trPr>
        <w:tc>
          <w:tcPr>
            <w:tcW w:w="1173" w:type="dxa"/>
            <w:vMerge w:val="restart"/>
            <w:tcBorders>
              <w:top w:val="single" w:sz="4" w:space="0" w:color="auto"/>
            </w:tcBorders>
            <w:shd w:val="clear" w:color="auto" w:fill="auto"/>
          </w:tcPr>
          <w:p w14:paraId="09D906E6" w14:textId="77777777" w:rsidR="00573CFE" w:rsidRPr="00573CFE" w:rsidRDefault="00573CFE" w:rsidP="00573CFE">
            <w:pPr>
              <w:autoSpaceDE w:val="0"/>
              <w:autoSpaceDN w:val="0"/>
              <w:adjustRightInd w:val="0"/>
              <w:contextualSpacing w:val="0"/>
              <w:jc w:val="left"/>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NEP</w:t>
            </w:r>
          </w:p>
        </w:tc>
        <w:tc>
          <w:tcPr>
            <w:tcW w:w="1189" w:type="dxa"/>
            <w:tcBorders>
              <w:top w:val="single" w:sz="4" w:space="0" w:color="auto"/>
            </w:tcBorders>
            <w:shd w:val="clear" w:color="auto" w:fill="auto"/>
          </w:tcPr>
          <w:p w14:paraId="65EA4D0A"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Pearson Correlation</w:t>
            </w:r>
          </w:p>
        </w:tc>
        <w:tc>
          <w:tcPr>
            <w:tcW w:w="691" w:type="dxa"/>
            <w:tcBorders>
              <w:top w:val="single" w:sz="4" w:space="0" w:color="auto"/>
            </w:tcBorders>
            <w:shd w:val="clear" w:color="auto" w:fill="auto"/>
          </w:tcPr>
          <w:p w14:paraId="689A6E45"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1</w:t>
            </w:r>
          </w:p>
        </w:tc>
        <w:tc>
          <w:tcPr>
            <w:tcW w:w="1173" w:type="dxa"/>
            <w:tcBorders>
              <w:top w:val="single" w:sz="4" w:space="0" w:color="auto"/>
            </w:tcBorders>
            <w:shd w:val="clear" w:color="auto" w:fill="auto"/>
          </w:tcPr>
          <w:p w14:paraId="07852DA7"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,464</w:t>
            </w:r>
            <w:r w:rsidRPr="00573CFE">
              <w:rPr>
                <w:rFonts w:ascii="Calisto MT" w:eastAsia="Times New Roman" w:hAnsi="Calisto MT"/>
                <w:color w:val="000000"/>
                <w:sz w:val="20"/>
                <w:szCs w:val="20"/>
                <w:vertAlign w:val="superscript"/>
                <w:lang w:val="en-US"/>
              </w:rPr>
              <w:t>**</w:t>
            </w:r>
          </w:p>
        </w:tc>
      </w:tr>
      <w:tr w:rsidR="00573CFE" w:rsidRPr="00573CFE" w14:paraId="7343E2CD" w14:textId="77777777" w:rsidTr="00573CFE">
        <w:trPr>
          <w:trHeight w:val="214"/>
          <w:jc w:val="center"/>
        </w:trPr>
        <w:tc>
          <w:tcPr>
            <w:tcW w:w="1173" w:type="dxa"/>
            <w:vMerge/>
            <w:shd w:val="clear" w:color="auto" w:fill="auto"/>
          </w:tcPr>
          <w:p w14:paraId="5EF29B30" w14:textId="77777777" w:rsidR="00573CFE" w:rsidRPr="00573CFE" w:rsidRDefault="00573CFE" w:rsidP="00573CFE">
            <w:pPr>
              <w:autoSpaceDE w:val="0"/>
              <w:autoSpaceDN w:val="0"/>
              <w:adjustRightInd w:val="0"/>
              <w:contextualSpacing w:val="0"/>
              <w:jc w:val="left"/>
              <w:rPr>
                <w:rFonts w:ascii="Calisto MT" w:eastAsia="Times New Roman" w:hAnsi="Calisto MT"/>
                <w:color w:val="000000"/>
                <w:sz w:val="20"/>
                <w:szCs w:val="20"/>
                <w:lang w:val="en-US"/>
              </w:rPr>
            </w:pPr>
          </w:p>
        </w:tc>
        <w:tc>
          <w:tcPr>
            <w:tcW w:w="1189" w:type="dxa"/>
            <w:shd w:val="clear" w:color="auto" w:fill="auto"/>
          </w:tcPr>
          <w:p w14:paraId="1C387062"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Sig. (2-tailed)</w:t>
            </w:r>
          </w:p>
        </w:tc>
        <w:tc>
          <w:tcPr>
            <w:tcW w:w="691" w:type="dxa"/>
            <w:shd w:val="clear" w:color="auto" w:fill="auto"/>
          </w:tcPr>
          <w:p w14:paraId="3C3C2150"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p>
        </w:tc>
        <w:tc>
          <w:tcPr>
            <w:tcW w:w="1173" w:type="dxa"/>
            <w:shd w:val="clear" w:color="auto" w:fill="auto"/>
          </w:tcPr>
          <w:p w14:paraId="69D6DF5D"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,000</w:t>
            </w:r>
          </w:p>
        </w:tc>
      </w:tr>
      <w:tr w:rsidR="00573CFE" w:rsidRPr="00573CFE" w14:paraId="4EFBE1D7" w14:textId="77777777" w:rsidTr="00573CFE">
        <w:trPr>
          <w:trHeight w:val="214"/>
          <w:jc w:val="center"/>
        </w:trPr>
        <w:tc>
          <w:tcPr>
            <w:tcW w:w="1173" w:type="dxa"/>
            <w:vMerge/>
            <w:shd w:val="clear" w:color="auto" w:fill="auto"/>
          </w:tcPr>
          <w:p w14:paraId="0E60C185" w14:textId="77777777" w:rsidR="00573CFE" w:rsidRPr="00573CFE" w:rsidRDefault="00573CFE" w:rsidP="00573CFE">
            <w:pPr>
              <w:autoSpaceDE w:val="0"/>
              <w:autoSpaceDN w:val="0"/>
              <w:adjustRightInd w:val="0"/>
              <w:contextualSpacing w:val="0"/>
              <w:jc w:val="left"/>
              <w:rPr>
                <w:rFonts w:ascii="Calisto MT" w:eastAsia="Times New Roman" w:hAnsi="Calisto MT"/>
                <w:color w:val="000000"/>
                <w:sz w:val="20"/>
                <w:szCs w:val="20"/>
                <w:lang w:val="en-US"/>
              </w:rPr>
            </w:pPr>
          </w:p>
        </w:tc>
        <w:tc>
          <w:tcPr>
            <w:tcW w:w="1189" w:type="dxa"/>
            <w:shd w:val="clear" w:color="auto" w:fill="auto"/>
          </w:tcPr>
          <w:p w14:paraId="30ECC649"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N</w:t>
            </w:r>
          </w:p>
        </w:tc>
        <w:tc>
          <w:tcPr>
            <w:tcW w:w="691" w:type="dxa"/>
            <w:shd w:val="clear" w:color="auto" w:fill="auto"/>
          </w:tcPr>
          <w:p w14:paraId="067FB67D"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89</w:t>
            </w:r>
          </w:p>
        </w:tc>
        <w:tc>
          <w:tcPr>
            <w:tcW w:w="1173" w:type="dxa"/>
            <w:shd w:val="clear" w:color="auto" w:fill="auto"/>
          </w:tcPr>
          <w:p w14:paraId="6C889653"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89</w:t>
            </w:r>
          </w:p>
        </w:tc>
      </w:tr>
      <w:tr w:rsidR="00573CFE" w:rsidRPr="00573CFE" w14:paraId="61C6CDE0" w14:textId="77777777" w:rsidTr="00573CFE">
        <w:trPr>
          <w:trHeight w:val="195"/>
          <w:jc w:val="center"/>
        </w:trPr>
        <w:tc>
          <w:tcPr>
            <w:tcW w:w="1173" w:type="dxa"/>
            <w:vMerge w:val="restart"/>
            <w:shd w:val="clear" w:color="auto" w:fill="auto"/>
          </w:tcPr>
          <w:p w14:paraId="3013E054" w14:textId="77777777" w:rsidR="00573CFE" w:rsidRPr="00573CFE" w:rsidRDefault="00573CFE" w:rsidP="00573CFE">
            <w:pPr>
              <w:autoSpaceDE w:val="0"/>
              <w:autoSpaceDN w:val="0"/>
              <w:adjustRightInd w:val="0"/>
              <w:contextualSpacing w:val="0"/>
              <w:jc w:val="left"/>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Pro-Environmental</w:t>
            </w:r>
          </w:p>
        </w:tc>
        <w:tc>
          <w:tcPr>
            <w:tcW w:w="1189" w:type="dxa"/>
            <w:shd w:val="clear" w:color="auto" w:fill="auto"/>
          </w:tcPr>
          <w:p w14:paraId="0591CD96"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Pearson Correlation</w:t>
            </w:r>
          </w:p>
        </w:tc>
        <w:tc>
          <w:tcPr>
            <w:tcW w:w="691" w:type="dxa"/>
            <w:shd w:val="clear" w:color="auto" w:fill="auto"/>
          </w:tcPr>
          <w:p w14:paraId="4588A984"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,464</w:t>
            </w:r>
            <w:r w:rsidRPr="00573CFE">
              <w:rPr>
                <w:rFonts w:ascii="Calisto MT" w:eastAsia="Times New Roman" w:hAnsi="Calisto MT"/>
                <w:color w:val="000000"/>
                <w:sz w:val="20"/>
                <w:szCs w:val="20"/>
                <w:vertAlign w:val="superscript"/>
                <w:lang w:val="en-US"/>
              </w:rPr>
              <w:t>**</w:t>
            </w:r>
          </w:p>
        </w:tc>
        <w:tc>
          <w:tcPr>
            <w:tcW w:w="1173" w:type="dxa"/>
            <w:shd w:val="clear" w:color="auto" w:fill="auto"/>
          </w:tcPr>
          <w:p w14:paraId="26DC055F"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1</w:t>
            </w:r>
          </w:p>
        </w:tc>
      </w:tr>
      <w:tr w:rsidR="00573CFE" w:rsidRPr="00573CFE" w14:paraId="65C15F22" w14:textId="77777777" w:rsidTr="00573CFE">
        <w:trPr>
          <w:trHeight w:val="214"/>
          <w:jc w:val="center"/>
        </w:trPr>
        <w:tc>
          <w:tcPr>
            <w:tcW w:w="1173" w:type="dxa"/>
            <w:vMerge/>
            <w:shd w:val="clear" w:color="auto" w:fill="auto"/>
          </w:tcPr>
          <w:p w14:paraId="22D4E557" w14:textId="77777777" w:rsidR="00573CFE" w:rsidRPr="00573CFE" w:rsidRDefault="00573CFE" w:rsidP="00573CFE">
            <w:pPr>
              <w:autoSpaceDE w:val="0"/>
              <w:autoSpaceDN w:val="0"/>
              <w:adjustRightInd w:val="0"/>
              <w:contextualSpacing w:val="0"/>
              <w:jc w:val="left"/>
              <w:rPr>
                <w:rFonts w:ascii="Calisto MT" w:eastAsia="Times New Roman" w:hAnsi="Calisto MT"/>
                <w:color w:val="000000"/>
                <w:sz w:val="20"/>
                <w:szCs w:val="20"/>
                <w:lang w:val="en-US"/>
              </w:rPr>
            </w:pPr>
          </w:p>
        </w:tc>
        <w:tc>
          <w:tcPr>
            <w:tcW w:w="1189" w:type="dxa"/>
            <w:shd w:val="clear" w:color="auto" w:fill="auto"/>
          </w:tcPr>
          <w:p w14:paraId="5C6F01B6"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Sig. (2-tailed)</w:t>
            </w:r>
          </w:p>
        </w:tc>
        <w:tc>
          <w:tcPr>
            <w:tcW w:w="691" w:type="dxa"/>
            <w:shd w:val="clear" w:color="auto" w:fill="auto"/>
          </w:tcPr>
          <w:p w14:paraId="29A18B6B"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,000</w:t>
            </w:r>
          </w:p>
        </w:tc>
        <w:tc>
          <w:tcPr>
            <w:tcW w:w="1173" w:type="dxa"/>
            <w:shd w:val="clear" w:color="auto" w:fill="auto"/>
          </w:tcPr>
          <w:p w14:paraId="356E5BB8"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p>
        </w:tc>
      </w:tr>
      <w:tr w:rsidR="00573CFE" w:rsidRPr="00573CFE" w14:paraId="681066A9" w14:textId="77777777" w:rsidTr="00573CFE">
        <w:trPr>
          <w:trHeight w:val="214"/>
          <w:jc w:val="center"/>
        </w:trPr>
        <w:tc>
          <w:tcPr>
            <w:tcW w:w="1173" w:type="dxa"/>
            <w:vMerge/>
            <w:shd w:val="clear" w:color="auto" w:fill="auto"/>
          </w:tcPr>
          <w:p w14:paraId="466B8B85" w14:textId="77777777" w:rsidR="00573CFE" w:rsidRPr="00573CFE" w:rsidRDefault="00573CFE" w:rsidP="00573CFE">
            <w:pPr>
              <w:autoSpaceDE w:val="0"/>
              <w:autoSpaceDN w:val="0"/>
              <w:adjustRightInd w:val="0"/>
              <w:contextualSpacing w:val="0"/>
              <w:jc w:val="left"/>
              <w:rPr>
                <w:rFonts w:ascii="Calisto MT" w:eastAsia="Times New Roman" w:hAnsi="Calisto MT"/>
                <w:color w:val="000000"/>
                <w:sz w:val="20"/>
                <w:szCs w:val="20"/>
                <w:lang w:val="en-US"/>
              </w:rPr>
            </w:pPr>
          </w:p>
        </w:tc>
        <w:tc>
          <w:tcPr>
            <w:tcW w:w="1189" w:type="dxa"/>
            <w:shd w:val="clear" w:color="auto" w:fill="auto"/>
          </w:tcPr>
          <w:p w14:paraId="26D443EF"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N</w:t>
            </w:r>
          </w:p>
        </w:tc>
        <w:tc>
          <w:tcPr>
            <w:tcW w:w="691" w:type="dxa"/>
            <w:shd w:val="clear" w:color="auto" w:fill="auto"/>
          </w:tcPr>
          <w:p w14:paraId="383F00C4"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89</w:t>
            </w:r>
          </w:p>
        </w:tc>
        <w:tc>
          <w:tcPr>
            <w:tcW w:w="1173" w:type="dxa"/>
            <w:shd w:val="clear" w:color="auto" w:fill="auto"/>
          </w:tcPr>
          <w:p w14:paraId="640D29FB" w14:textId="77777777" w:rsidR="00573CFE" w:rsidRPr="00573CFE" w:rsidRDefault="00573CFE" w:rsidP="00573CFE">
            <w:pPr>
              <w:autoSpaceDE w:val="0"/>
              <w:autoSpaceDN w:val="0"/>
              <w:adjustRightInd w:val="0"/>
              <w:contextualSpacing w:val="0"/>
              <w:jc w:val="center"/>
              <w:rPr>
                <w:rFonts w:ascii="Calisto MT" w:eastAsia="Times New Roman" w:hAnsi="Calisto MT"/>
                <w:color w:val="000000"/>
                <w:sz w:val="20"/>
                <w:szCs w:val="20"/>
                <w:lang w:val="en-US"/>
              </w:rPr>
            </w:pPr>
            <w:r w:rsidRPr="00573CFE">
              <w:rPr>
                <w:rFonts w:ascii="Calisto MT" w:eastAsia="Times New Roman" w:hAnsi="Calisto MT"/>
                <w:color w:val="000000"/>
                <w:sz w:val="20"/>
                <w:szCs w:val="20"/>
                <w:lang w:val="en-US"/>
              </w:rPr>
              <w:t>89</w:t>
            </w:r>
          </w:p>
        </w:tc>
      </w:tr>
    </w:tbl>
    <w:p w14:paraId="583F517C" w14:textId="77777777" w:rsidR="00F60725" w:rsidRPr="00F60725" w:rsidRDefault="00F60725" w:rsidP="00573CFE">
      <w:pPr>
        <w:pStyle w:val="ListParagraph"/>
        <w:ind w:left="0" w:firstLine="720"/>
        <w:rPr>
          <w:bCs/>
          <w:sz w:val="22"/>
          <w:lang w:val="id-ID" w:eastAsia="zh-CN" w:bidi="en-US"/>
        </w:rPr>
      </w:pPr>
      <w:r w:rsidRPr="00F60725">
        <w:rPr>
          <w:bCs/>
          <w:sz w:val="22"/>
          <w:lang w:val="id-ID" w:eastAsia="zh-CN" w:bidi="en-US"/>
        </w:rPr>
        <w:tab/>
        <w:t xml:space="preserve">Berdasarkan tabel </w:t>
      </w:r>
      <w:r w:rsidRPr="00F60725">
        <w:rPr>
          <w:bCs/>
          <w:sz w:val="22"/>
          <w:lang w:val="sv-SE" w:eastAsia="zh-CN" w:bidi="en-US"/>
        </w:rPr>
        <w:t>6</w:t>
      </w:r>
      <w:r w:rsidRPr="00F60725">
        <w:rPr>
          <w:bCs/>
          <w:sz w:val="22"/>
          <w:lang w:val="id-ID" w:eastAsia="zh-CN" w:bidi="en-US"/>
        </w:rPr>
        <w:t>, maka dapat di ketahui bahwa nilai r</w:t>
      </w:r>
      <w:r w:rsidRPr="00F60725">
        <w:rPr>
          <w:bCs/>
          <w:sz w:val="22"/>
          <w:vertAlign w:val="subscript"/>
          <w:lang w:val="id-ID" w:eastAsia="zh-CN" w:bidi="en-US"/>
        </w:rPr>
        <w:t xml:space="preserve">hitung </w:t>
      </w:r>
      <w:r w:rsidRPr="00F60725">
        <w:rPr>
          <w:bCs/>
          <w:sz w:val="22"/>
          <w:lang w:val="id-ID" w:eastAsia="zh-CN" w:bidi="en-US"/>
        </w:rPr>
        <w:t>lebih besar dari r</w:t>
      </w:r>
      <w:r w:rsidRPr="00F60725">
        <w:rPr>
          <w:bCs/>
          <w:sz w:val="22"/>
          <w:vertAlign w:val="subscript"/>
          <w:lang w:val="id-ID" w:eastAsia="zh-CN" w:bidi="en-US"/>
        </w:rPr>
        <w:t>tabel</w:t>
      </w:r>
      <w:r w:rsidRPr="00F60725">
        <w:rPr>
          <w:bCs/>
          <w:sz w:val="22"/>
          <w:lang w:val="id-ID" w:eastAsia="zh-CN" w:bidi="en-US"/>
        </w:rPr>
        <w:t xml:space="preserve"> (0,464&gt;0,20) dan nilai signifikansi sebesar 0.000, yang berarti kurang dari 0,5. Berdasarkan hasil tersebut maka dapat dikatakan bahwa hipotesis diterima</w:t>
      </w:r>
      <w:r w:rsidR="00573CFE">
        <w:rPr>
          <w:bCs/>
          <w:sz w:val="22"/>
          <w:lang w:val="en-US" w:eastAsia="zh-CN" w:bidi="en-US"/>
        </w:rPr>
        <w:t xml:space="preserve"> </w:t>
      </w:r>
      <w:r w:rsidR="00573CFE">
        <w:rPr>
          <w:bCs/>
          <w:sz w:val="22"/>
          <w:lang w:val="en-US" w:eastAsia="zh-CN" w:bidi="en-US"/>
        </w:rPr>
        <w:fldChar w:fldCharType="begin" w:fldLock="1"/>
      </w:r>
      <w:r w:rsidR="003D630C">
        <w:rPr>
          <w:bCs/>
          <w:sz w:val="22"/>
          <w:lang w:val="en-US" w:eastAsia="zh-CN" w:bidi="en-US"/>
        </w:rPr>
        <w:instrText>ADDIN CSL_CITATION {"citationItems":[{"id":"ITEM-1","itemData":{"DOI":"10.1016/j.afjem.2019.09.001","ISSN":"2211419X","author":[{"dropping-particle":"","family":"Ibraheem","given":"Rasheedat Mobolaji","non-dropping-particle":"","parse-names":false,"suffix":""},{"dropping-particle":"","family":"Aderemi","given":"Jubril Adegboyega","non-dropping-particle":"","parse-names":false,"suffix":""},{"dropping-particle":"","family":"Abdulkadir","given":"Mohammed Baba","non-dropping-particle":"","parse-names":false,"suffix":""},{"dropping-particle":"","family":"Johnson","given":"Wahab Babatunde Rotimi","non-dropping-particle":"","parse-names":false,"suffix":""}],"container-title":"African Journal of Emergency Medicine","id":"ITEM-1","issue":"1","issued":{"date-parts":[["2020","3"]]},"page":"3-7","publisher":"Elsevier","title":"Burden and spectrum of paediatric respiratory diseases at a referral hospital in North-Central Nigeria - A five year review","type":"article-journal","volume":"10"},"uris":["http://www.mendeley.com/documents/?uuid=cd3bf716-a187-403f-9b40-caa52f12978b"]}],"mendeley":{"formattedCitation":"(Ibraheem et al., 2020)","plainTextFormattedCitation":"(Ibraheem et al., 2020)","previouslyFormattedCitation":"(Ibraheem et al., 2020)"},"properties":{"noteIndex":0},"schema":"https://github.com/citation-style-language/schema/raw/master/csl-citation.json"}</w:instrText>
      </w:r>
      <w:r w:rsidR="00573CFE">
        <w:rPr>
          <w:bCs/>
          <w:sz w:val="22"/>
          <w:lang w:val="en-US" w:eastAsia="zh-CN" w:bidi="en-US"/>
        </w:rPr>
        <w:fldChar w:fldCharType="separate"/>
      </w:r>
      <w:r w:rsidR="00573CFE" w:rsidRPr="00573CFE">
        <w:rPr>
          <w:bCs/>
          <w:noProof/>
          <w:sz w:val="22"/>
          <w:lang w:val="en-US" w:eastAsia="zh-CN" w:bidi="en-US"/>
        </w:rPr>
        <w:t>(Ibraheem et al., 2020)</w:t>
      </w:r>
      <w:r w:rsidR="00573CFE">
        <w:rPr>
          <w:bCs/>
          <w:sz w:val="22"/>
          <w:lang w:val="en-US" w:eastAsia="zh-CN" w:bidi="en-US"/>
        </w:rPr>
        <w:fldChar w:fldCharType="end"/>
      </w:r>
      <w:r w:rsidRPr="00F60725">
        <w:rPr>
          <w:bCs/>
          <w:sz w:val="22"/>
          <w:lang w:val="id-ID" w:eastAsia="zh-CN" w:bidi="en-US"/>
        </w:rPr>
        <w:t>. Hasil analisis korelasi</w:t>
      </w:r>
      <w:r w:rsidRPr="00F60725">
        <w:rPr>
          <w:bCs/>
          <w:i/>
          <w:sz w:val="22"/>
          <w:lang w:val="id-ID" w:eastAsia="zh-CN" w:bidi="en-US"/>
        </w:rPr>
        <w:t xml:space="preserve"> </w:t>
      </w:r>
      <w:r w:rsidRPr="00F60725">
        <w:rPr>
          <w:bCs/>
          <w:sz w:val="22"/>
          <w:lang w:val="id-ID" w:eastAsia="zh-CN" w:bidi="en-US"/>
        </w:rPr>
        <w:t xml:space="preserve">“Terdapat hubungan yang signifikan antara </w:t>
      </w:r>
      <w:r w:rsidRPr="00F60725">
        <w:rPr>
          <w:bCs/>
          <w:i/>
          <w:sz w:val="22"/>
          <w:lang w:val="id-ID" w:eastAsia="zh-CN" w:bidi="en-US"/>
        </w:rPr>
        <w:t xml:space="preserve">New  Environmental Paradigm </w:t>
      </w:r>
      <w:r w:rsidRPr="00F60725">
        <w:rPr>
          <w:bCs/>
          <w:sz w:val="22"/>
          <w:lang w:val="id-ID" w:eastAsia="zh-CN" w:bidi="en-US"/>
        </w:rPr>
        <w:t xml:space="preserve">(NEP) terhadap perilaku Pro Lingkungan tujuan ke-13 </w:t>
      </w:r>
      <w:r w:rsidRPr="00F60725">
        <w:rPr>
          <w:bCs/>
          <w:i/>
          <w:sz w:val="22"/>
          <w:lang w:val="id-ID" w:eastAsia="zh-CN" w:bidi="en-US"/>
        </w:rPr>
        <w:t xml:space="preserve">Sustainable Development Goals </w:t>
      </w:r>
      <w:r w:rsidRPr="00F60725">
        <w:rPr>
          <w:bCs/>
          <w:sz w:val="22"/>
          <w:lang w:val="id-ID" w:eastAsia="zh-CN" w:bidi="en-US"/>
        </w:rPr>
        <w:t>(SDGs) pada calon guru Biologi</w:t>
      </w:r>
      <w:r w:rsidR="00573CFE" w:rsidRPr="00475F4A">
        <w:rPr>
          <w:bCs/>
          <w:sz w:val="22"/>
          <w:lang w:val="id-ID" w:eastAsia="zh-CN" w:bidi="en-US"/>
        </w:rPr>
        <w:t xml:space="preserve"> </w:t>
      </w:r>
      <w:r w:rsidR="00573CFE">
        <w:rPr>
          <w:bCs/>
          <w:sz w:val="22"/>
          <w:lang w:val="en-US" w:eastAsia="zh-CN" w:bidi="en-US"/>
        </w:rPr>
        <w:fldChar w:fldCharType="begin" w:fldLock="1"/>
      </w:r>
      <w:r w:rsidR="00573CFE" w:rsidRPr="00475F4A">
        <w:rPr>
          <w:bCs/>
          <w:sz w:val="22"/>
          <w:lang w:val="id-ID" w:eastAsia="zh-CN" w:bidi="en-US"/>
        </w:rPr>
        <w:instrText>ADDIN CSL_CITATION {"citationItems":[{"id":"ITEM-1","itemData":{"DOI":"10.3390/vaccines9111355","ISSN":"2076-393X","abstract":"The World Health Organization’s Western Pacific Region is responsible for one-fourth of the global cervical cancer burden, and nearly 90% of that burden is concentrated in middle-income countries (MICs). Applying a conceptual model of implementation of population-based interventions, we synthesized the current implementation status of human papillomavirus (HPV) vaccination and national plans that form the basis of its implementation in 17 MICs. We gathered information from a range of governmental documents, published studies, and global databases. For all available national cancer-related plans and immunization plans, we examined the description of HPV vaccination. We found that, as of July 2021, only four countries (24%) had a mature HPV vaccination program with a high first-dose coverage; three (18%) had introduced HPV vaccination, but needed further efforts to scale it up, seven (41%) had not been able to introduce it after conducting demonstration projects, and three (18%) did not have any experience in HPV vaccination. In the national plans, most of the countries recognized the importance of HPV vaccination, but only 10 (59%) provided an impl</w:instrText>
      </w:r>
      <w:r w:rsidR="00573CFE">
        <w:rPr>
          <w:bCs/>
          <w:sz w:val="22"/>
          <w:lang w:val="en-US" w:eastAsia="zh-CN" w:bidi="en-US"/>
        </w:rPr>
        <w:instrText>ementation strategy on how it would be introduced or scaled up. Countries with a mature program were more likely to have their implementation strategy detailed in their national cancer control plan. Successful implementation of HPV vaccination requires overcoming known challenges and having a clear national plan. Positioning HPV vaccination clearly in the overall national cancer control plan may be key to accelerating its nationwide implementation.","author":[{"dropping-particle":"","family":"Haruyama","given":"Rei","non-dropping-particle":"","parse-names":false,"suffix":""},{"dropping-particle":"","family":"Okawa","given":"Sumiyo","non-dropping-particle":"","parse-names":false,"suffix":""},{"dropping-particle":"","family":"Akaba","given":"Hiroki","non-dropping-particle":"","parse-names":false,"suffix":""},{"dropping-particle":"","family":"Obara","given":"Hiromi","non-dropping-particle":"","parse-names":false,"suffix":""},{"dropping-particle":"","family":"Fujita","given":"Noriko","non-dropping-particle":"","parse-names":false,"suffix":""}],"container-title":"Vaccines","id":"ITEM-1","issue":"11","issued":{"date-parts":[["2021","11","18"]]},"page":"1355","publisher":"Multidisciplinary Digital Publishing Institute","title":"A Review of the Implementation Status of and National Plans on HPV Vaccination in 17 Middle-Income Countries of the WHO Western Pacific Region","type":"article-journal","volume":"9"},"uris":["http://www.mendeley.com/documents/?uuid=4f27b04a-6748-4d8f-9f0d-a7c6b2bd850c"]}],"mendeley":{"formattedCitation":"(Haruyama et al., 2021)","plainTextFormattedCitation":"(Haruyama et al., 2021)","previouslyFormattedCitation":"(Haruyama et al., 2021)"},"properties":{"noteIndex":0},"schema":"https://github.com/citation-style-language/schema/raw/master/csl-citation.json"}</w:instrText>
      </w:r>
      <w:r w:rsidR="00573CFE">
        <w:rPr>
          <w:bCs/>
          <w:sz w:val="22"/>
          <w:lang w:val="en-US" w:eastAsia="zh-CN" w:bidi="en-US"/>
        </w:rPr>
        <w:fldChar w:fldCharType="separate"/>
      </w:r>
      <w:r w:rsidR="00573CFE" w:rsidRPr="00573CFE">
        <w:rPr>
          <w:bCs/>
          <w:noProof/>
          <w:sz w:val="22"/>
          <w:lang w:val="en-US" w:eastAsia="zh-CN" w:bidi="en-US"/>
        </w:rPr>
        <w:t>(Haruyama et al., 2021)</w:t>
      </w:r>
      <w:r w:rsidR="00573CFE">
        <w:rPr>
          <w:bCs/>
          <w:sz w:val="22"/>
          <w:lang w:val="en-US" w:eastAsia="zh-CN" w:bidi="en-US"/>
        </w:rPr>
        <w:fldChar w:fldCharType="end"/>
      </w:r>
      <w:r w:rsidRPr="00F60725">
        <w:rPr>
          <w:bCs/>
          <w:sz w:val="22"/>
          <w:lang w:val="id-ID" w:eastAsia="zh-CN" w:bidi="en-US"/>
        </w:rPr>
        <w:t>.</w:t>
      </w:r>
    </w:p>
    <w:p w14:paraId="1025F810" w14:textId="77777777" w:rsidR="0085755D" w:rsidRPr="00BF55AA" w:rsidRDefault="00AF18E9" w:rsidP="00094DE5">
      <w:pPr>
        <w:widowControl w:val="0"/>
        <w:autoSpaceDE w:val="0"/>
        <w:autoSpaceDN w:val="0"/>
        <w:adjustRightInd w:val="0"/>
        <w:spacing w:before="120" w:after="120"/>
        <w:contextualSpacing w:val="0"/>
        <w:rPr>
          <w:sz w:val="22"/>
          <w:lang w:val="en-US"/>
        </w:rPr>
      </w:pPr>
      <w:r w:rsidRPr="00BF55AA">
        <w:rPr>
          <w:b/>
          <w:bCs/>
          <w:spacing w:val="-5"/>
          <w:sz w:val="22"/>
          <w:lang w:val="en-US"/>
        </w:rPr>
        <w:t>Kesimpulan</w:t>
      </w:r>
    </w:p>
    <w:p w14:paraId="1BAA3483" w14:textId="77777777" w:rsidR="006B0789" w:rsidRPr="006B0789" w:rsidRDefault="00F60725" w:rsidP="00E77B2F">
      <w:pPr>
        <w:widowControl w:val="0"/>
        <w:autoSpaceDE w:val="0"/>
        <w:autoSpaceDN w:val="0"/>
        <w:adjustRightInd w:val="0"/>
        <w:ind w:firstLine="709"/>
        <w:contextualSpacing w:val="0"/>
        <w:rPr>
          <w:bCs/>
          <w:sz w:val="22"/>
          <w:lang w:val="en-US"/>
        </w:rPr>
      </w:pPr>
      <w:r w:rsidRPr="00F60725">
        <w:rPr>
          <w:bCs/>
          <w:sz w:val="22"/>
          <w:lang w:val="en-US"/>
        </w:rPr>
        <w:t xml:space="preserve">Hasil </w:t>
      </w:r>
      <w:proofErr w:type="spellStart"/>
      <w:r w:rsidRPr="00F60725">
        <w:rPr>
          <w:bCs/>
          <w:sz w:val="22"/>
          <w:lang w:val="en-US"/>
        </w:rPr>
        <w:t>penelitian</w:t>
      </w:r>
      <w:proofErr w:type="spellEnd"/>
      <w:r w:rsidRPr="00F60725">
        <w:rPr>
          <w:bCs/>
          <w:sz w:val="22"/>
          <w:lang w:val="en-US"/>
        </w:rPr>
        <w:t xml:space="preserve"> </w:t>
      </w:r>
      <w:proofErr w:type="spellStart"/>
      <w:r w:rsidRPr="00F60725">
        <w:rPr>
          <w:bCs/>
          <w:sz w:val="22"/>
          <w:lang w:val="en-US"/>
        </w:rPr>
        <w:t>menunjukan</w:t>
      </w:r>
      <w:proofErr w:type="spellEnd"/>
      <w:r w:rsidRPr="00F60725">
        <w:rPr>
          <w:bCs/>
          <w:sz w:val="22"/>
          <w:lang w:val="en-US"/>
        </w:rPr>
        <w:t xml:space="preserve"> </w:t>
      </w:r>
      <w:proofErr w:type="spellStart"/>
      <w:r w:rsidRPr="00F60725">
        <w:rPr>
          <w:bCs/>
          <w:sz w:val="22"/>
          <w:lang w:val="en-US"/>
        </w:rPr>
        <w:t>bahwa</w:t>
      </w:r>
      <w:proofErr w:type="spellEnd"/>
      <w:r w:rsidRPr="00F60725">
        <w:rPr>
          <w:bCs/>
          <w:sz w:val="22"/>
          <w:lang w:val="en-US"/>
        </w:rPr>
        <w:t xml:space="preserve"> </w:t>
      </w:r>
      <w:proofErr w:type="spellStart"/>
      <w:r w:rsidRPr="00F60725">
        <w:rPr>
          <w:bCs/>
          <w:sz w:val="22"/>
          <w:lang w:val="en-US"/>
        </w:rPr>
        <w:t>terdapat</w:t>
      </w:r>
      <w:proofErr w:type="spellEnd"/>
      <w:r w:rsidRPr="00F60725">
        <w:rPr>
          <w:bCs/>
          <w:sz w:val="22"/>
          <w:lang w:val="en-US"/>
        </w:rPr>
        <w:t xml:space="preserve"> </w:t>
      </w:r>
      <w:proofErr w:type="spellStart"/>
      <w:r w:rsidRPr="00F60725">
        <w:rPr>
          <w:bCs/>
          <w:sz w:val="22"/>
          <w:lang w:val="en-US"/>
        </w:rPr>
        <w:t>hubungan</w:t>
      </w:r>
      <w:proofErr w:type="spellEnd"/>
      <w:r w:rsidRPr="00F60725">
        <w:rPr>
          <w:bCs/>
          <w:sz w:val="22"/>
          <w:lang w:val="en-US"/>
        </w:rPr>
        <w:t xml:space="preserve"> </w:t>
      </w:r>
      <w:proofErr w:type="spellStart"/>
      <w:r w:rsidRPr="00F60725">
        <w:rPr>
          <w:bCs/>
          <w:sz w:val="22"/>
          <w:lang w:val="en-US"/>
        </w:rPr>
        <w:t>antara</w:t>
      </w:r>
      <w:proofErr w:type="spellEnd"/>
      <w:r w:rsidRPr="00F60725">
        <w:rPr>
          <w:bCs/>
          <w:sz w:val="22"/>
          <w:lang w:val="en-US"/>
        </w:rPr>
        <w:t xml:space="preserve"> New Environmental Paradigm (NEP) </w:t>
      </w:r>
      <w:proofErr w:type="spellStart"/>
      <w:r w:rsidRPr="00F60725">
        <w:rPr>
          <w:bCs/>
          <w:sz w:val="22"/>
          <w:lang w:val="en-US"/>
        </w:rPr>
        <w:t>terhadap</w:t>
      </w:r>
      <w:proofErr w:type="spellEnd"/>
      <w:r w:rsidRPr="00F60725">
        <w:rPr>
          <w:bCs/>
          <w:sz w:val="22"/>
          <w:lang w:val="en-US"/>
        </w:rPr>
        <w:t xml:space="preserve"> </w:t>
      </w:r>
      <w:proofErr w:type="spellStart"/>
      <w:r w:rsidRPr="00F60725">
        <w:rPr>
          <w:bCs/>
          <w:sz w:val="22"/>
          <w:lang w:val="en-US"/>
        </w:rPr>
        <w:t>perilaku</w:t>
      </w:r>
      <w:proofErr w:type="spellEnd"/>
      <w:r w:rsidRPr="00F60725">
        <w:rPr>
          <w:bCs/>
          <w:sz w:val="22"/>
          <w:lang w:val="en-US"/>
        </w:rPr>
        <w:t xml:space="preserve"> pro </w:t>
      </w:r>
      <w:proofErr w:type="spellStart"/>
      <w:r w:rsidRPr="00F60725">
        <w:rPr>
          <w:bCs/>
          <w:sz w:val="22"/>
          <w:lang w:val="en-US"/>
        </w:rPr>
        <w:t>lingkungan</w:t>
      </w:r>
      <w:proofErr w:type="spellEnd"/>
      <w:r w:rsidRPr="00F60725">
        <w:rPr>
          <w:bCs/>
          <w:sz w:val="22"/>
          <w:lang w:val="en-US"/>
        </w:rPr>
        <w:t xml:space="preserve"> </w:t>
      </w:r>
      <w:proofErr w:type="spellStart"/>
      <w:r w:rsidRPr="00F60725">
        <w:rPr>
          <w:bCs/>
          <w:sz w:val="22"/>
          <w:lang w:val="en-US"/>
        </w:rPr>
        <w:t>tujuan</w:t>
      </w:r>
      <w:proofErr w:type="spellEnd"/>
      <w:r w:rsidRPr="00F60725">
        <w:rPr>
          <w:bCs/>
          <w:sz w:val="22"/>
          <w:lang w:val="en-US"/>
        </w:rPr>
        <w:t xml:space="preserve"> </w:t>
      </w:r>
      <w:proofErr w:type="spellStart"/>
      <w:r w:rsidRPr="00F60725">
        <w:rPr>
          <w:bCs/>
          <w:sz w:val="22"/>
          <w:lang w:val="en-US"/>
        </w:rPr>
        <w:t>ke</w:t>
      </w:r>
      <w:proofErr w:type="spellEnd"/>
      <w:r w:rsidRPr="00F60725">
        <w:rPr>
          <w:bCs/>
          <w:sz w:val="22"/>
          <w:lang w:val="en-US"/>
        </w:rPr>
        <w:t xml:space="preserve"> 13 Sustainable Development Goals (SDGs) pada </w:t>
      </w:r>
      <w:proofErr w:type="spellStart"/>
      <w:r w:rsidRPr="00F60725">
        <w:rPr>
          <w:bCs/>
          <w:sz w:val="22"/>
          <w:lang w:val="en-US"/>
        </w:rPr>
        <w:t>calon</w:t>
      </w:r>
      <w:proofErr w:type="spellEnd"/>
      <w:r w:rsidRPr="00F60725">
        <w:rPr>
          <w:bCs/>
          <w:sz w:val="22"/>
          <w:lang w:val="en-US"/>
        </w:rPr>
        <w:t xml:space="preserve"> guru </w:t>
      </w:r>
      <w:proofErr w:type="spellStart"/>
      <w:r w:rsidRPr="00F60725">
        <w:rPr>
          <w:bCs/>
          <w:sz w:val="22"/>
          <w:lang w:val="en-US"/>
        </w:rPr>
        <w:t>Biologi</w:t>
      </w:r>
      <w:proofErr w:type="spellEnd"/>
      <w:r w:rsidRPr="00F60725">
        <w:rPr>
          <w:bCs/>
          <w:sz w:val="22"/>
          <w:lang w:val="en-US"/>
        </w:rPr>
        <w:t xml:space="preserve"> </w:t>
      </w:r>
      <w:proofErr w:type="spellStart"/>
      <w:r w:rsidRPr="00F60725">
        <w:rPr>
          <w:bCs/>
          <w:sz w:val="22"/>
          <w:lang w:val="en-US"/>
        </w:rPr>
        <w:t>dengan</w:t>
      </w:r>
      <w:proofErr w:type="spellEnd"/>
      <w:r w:rsidRPr="00F60725">
        <w:rPr>
          <w:bCs/>
          <w:sz w:val="22"/>
          <w:lang w:val="en-US"/>
        </w:rPr>
        <w:t xml:space="preserve"> </w:t>
      </w:r>
      <w:proofErr w:type="spellStart"/>
      <w:r w:rsidRPr="00F60725">
        <w:rPr>
          <w:bCs/>
          <w:sz w:val="22"/>
          <w:lang w:val="en-US"/>
        </w:rPr>
        <w:t>derajat</w:t>
      </w:r>
      <w:proofErr w:type="spellEnd"/>
      <w:r w:rsidRPr="00F60725">
        <w:rPr>
          <w:bCs/>
          <w:sz w:val="22"/>
          <w:lang w:val="en-US"/>
        </w:rPr>
        <w:t xml:space="preserve"> </w:t>
      </w:r>
      <w:proofErr w:type="spellStart"/>
      <w:r w:rsidRPr="00F60725">
        <w:rPr>
          <w:bCs/>
          <w:sz w:val="22"/>
          <w:lang w:val="en-US"/>
        </w:rPr>
        <w:t>hubungan</w:t>
      </w:r>
      <w:proofErr w:type="spellEnd"/>
      <w:r w:rsidRPr="00F60725">
        <w:rPr>
          <w:bCs/>
          <w:sz w:val="22"/>
          <w:lang w:val="en-US"/>
        </w:rPr>
        <w:t xml:space="preserve"> </w:t>
      </w:r>
      <w:proofErr w:type="spellStart"/>
      <w:r w:rsidRPr="00F60725">
        <w:rPr>
          <w:bCs/>
          <w:sz w:val="22"/>
          <w:lang w:val="en-US"/>
        </w:rPr>
        <w:t>positif</w:t>
      </w:r>
      <w:proofErr w:type="spellEnd"/>
      <w:r w:rsidRPr="00F60725">
        <w:rPr>
          <w:bCs/>
          <w:sz w:val="22"/>
          <w:lang w:val="en-US"/>
        </w:rPr>
        <w:t xml:space="preserve">. </w:t>
      </w:r>
      <w:proofErr w:type="spellStart"/>
      <w:r w:rsidRPr="00F60725">
        <w:rPr>
          <w:bCs/>
          <w:sz w:val="22"/>
          <w:lang w:val="en-US"/>
        </w:rPr>
        <w:t>Kontribusi</w:t>
      </w:r>
      <w:proofErr w:type="spellEnd"/>
      <w:r w:rsidRPr="00F60725">
        <w:rPr>
          <w:bCs/>
          <w:sz w:val="22"/>
          <w:lang w:val="en-US"/>
        </w:rPr>
        <w:t xml:space="preserve"> New Environmental Paradigm (NEP) </w:t>
      </w:r>
      <w:proofErr w:type="spellStart"/>
      <w:r w:rsidRPr="00F60725">
        <w:rPr>
          <w:bCs/>
          <w:sz w:val="22"/>
          <w:lang w:val="en-US"/>
        </w:rPr>
        <w:t>terhadap</w:t>
      </w:r>
      <w:proofErr w:type="spellEnd"/>
      <w:r w:rsidRPr="00F60725">
        <w:rPr>
          <w:bCs/>
          <w:sz w:val="22"/>
          <w:lang w:val="en-US"/>
        </w:rPr>
        <w:t xml:space="preserve"> </w:t>
      </w:r>
      <w:proofErr w:type="spellStart"/>
      <w:r w:rsidRPr="00F60725">
        <w:rPr>
          <w:bCs/>
          <w:sz w:val="22"/>
          <w:lang w:val="en-US"/>
        </w:rPr>
        <w:t>perilaku</w:t>
      </w:r>
      <w:proofErr w:type="spellEnd"/>
      <w:r w:rsidRPr="00F60725">
        <w:rPr>
          <w:bCs/>
          <w:sz w:val="22"/>
          <w:lang w:val="en-US"/>
        </w:rPr>
        <w:t xml:space="preserve"> pro </w:t>
      </w:r>
      <w:proofErr w:type="spellStart"/>
      <w:r w:rsidRPr="00F60725">
        <w:rPr>
          <w:bCs/>
          <w:sz w:val="22"/>
          <w:lang w:val="en-US"/>
        </w:rPr>
        <w:t>lingkungan</w:t>
      </w:r>
      <w:proofErr w:type="spellEnd"/>
      <w:r w:rsidRPr="00F60725">
        <w:rPr>
          <w:bCs/>
          <w:sz w:val="22"/>
          <w:lang w:val="en-US"/>
        </w:rPr>
        <w:t xml:space="preserve"> </w:t>
      </w:r>
      <w:proofErr w:type="spellStart"/>
      <w:r w:rsidRPr="00F60725">
        <w:rPr>
          <w:bCs/>
          <w:sz w:val="22"/>
          <w:lang w:val="en-US"/>
        </w:rPr>
        <w:t>tujuan</w:t>
      </w:r>
      <w:proofErr w:type="spellEnd"/>
      <w:r w:rsidRPr="00F60725">
        <w:rPr>
          <w:bCs/>
          <w:sz w:val="22"/>
          <w:lang w:val="en-US"/>
        </w:rPr>
        <w:t xml:space="preserve"> </w:t>
      </w:r>
      <w:proofErr w:type="spellStart"/>
      <w:r w:rsidRPr="00F60725">
        <w:rPr>
          <w:bCs/>
          <w:sz w:val="22"/>
          <w:lang w:val="en-US"/>
        </w:rPr>
        <w:t>ke</w:t>
      </w:r>
      <w:proofErr w:type="spellEnd"/>
      <w:r w:rsidRPr="00F60725">
        <w:rPr>
          <w:bCs/>
          <w:sz w:val="22"/>
          <w:lang w:val="en-US"/>
        </w:rPr>
        <w:t xml:space="preserve"> 13 Sustainable Development Goals (SDGs) </w:t>
      </w:r>
      <w:proofErr w:type="spellStart"/>
      <w:r w:rsidRPr="00F60725">
        <w:rPr>
          <w:bCs/>
          <w:sz w:val="22"/>
          <w:lang w:val="en-US"/>
        </w:rPr>
        <w:t>sebesar</w:t>
      </w:r>
      <w:proofErr w:type="spellEnd"/>
      <w:r w:rsidRPr="00F60725">
        <w:rPr>
          <w:bCs/>
          <w:sz w:val="22"/>
          <w:lang w:val="en-US"/>
        </w:rPr>
        <w:t xml:space="preserve"> 0,215 </w:t>
      </w:r>
      <w:proofErr w:type="spellStart"/>
      <w:r w:rsidRPr="00F60725">
        <w:rPr>
          <w:bCs/>
          <w:sz w:val="22"/>
          <w:lang w:val="en-US"/>
        </w:rPr>
        <w:t>atau</w:t>
      </w:r>
      <w:proofErr w:type="spellEnd"/>
      <w:r w:rsidRPr="00F60725">
        <w:rPr>
          <w:bCs/>
          <w:sz w:val="22"/>
          <w:lang w:val="en-US"/>
        </w:rPr>
        <w:t xml:space="preserve"> 22%.</w:t>
      </w:r>
    </w:p>
    <w:p w14:paraId="6BAD4FFE" w14:textId="77777777" w:rsidR="007B2F36" w:rsidRPr="00BF55AA" w:rsidRDefault="005664D1" w:rsidP="005664D1">
      <w:pPr>
        <w:widowControl w:val="0"/>
        <w:autoSpaceDE w:val="0"/>
        <w:autoSpaceDN w:val="0"/>
        <w:adjustRightInd w:val="0"/>
        <w:spacing w:before="120" w:after="120"/>
        <w:contextualSpacing w:val="0"/>
        <w:rPr>
          <w:b/>
          <w:bCs/>
          <w:sz w:val="22"/>
        </w:rPr>
      </w:pPr>
      <w:r w:rsidRPr="00BF55AA">
        <w:rPr>
          <w:b/>
          <w:bCs/>
          <w:spacing w:val="-1"/>
          <w:sz w:val="22"/>
        </w:rPr>
        <w:t>Daftar Pustaka</w:t>
      </w:r>
    </w:p>
    <w:p w14:paraId="72E2AB45" w14:textId="77777777" w:rsidR="003D630C" w:rsidRPr="00475F4A" w:rsidRDefault="00F60725" w:rsidP="003D630C">
      <w:pPr>
        <w:widowControl w:val="0"/>
        <w:autoSpaceDE w:val="0"/>
        <w:autoSpaceDN w:val="0"/>
        <w:adjustRightInd w:val="0"/>
        <w:spacing w:before="120" w:after="120"/>
        <w:ind w:left="480" w:hanging="480"/>
        <w:contextualSpacing w:val="0"/>
        <w:rPr>
          <w:noProof/>
          <w:sz w:val="22"/>
          <w:szCs w:val="24"/>
          <w:lang w:val="it-IT"/>
        </w:rPr>
      </w:pPr>
      <w:r>
        <w:rPr>
          <w:sz w:val="22"/>
          <w:lang w:val="id-ID"/>
        </w:rPr>
        <w:fldChar w:fldCharType="begin" w:fldLock="1"/>
      </w:r>
      <w:r>
        <w:rPr>
          <w:sz w:val="22"/>
          <w:lang w:val="id-ID"/>
        </w:rPr>
        <w:instrText xml:space="preserve">ADDIN Mendeley Bibliography CSL_BIBLIOGRAPHY </w:instrText>
      </w:r>
      <w:r>
        <w:rPr>
          <w:sz w:val="22"/>
          <w:lang w:val="id-ID"/>
        </w:rPr>
        <w:fldChar w:fldCharType="separate"/>
      </w:r>
      <w:r w:rsidR="003D630C" w:rsidRPr="003D630C">
        <w:rPr>
          <w:noProof/>
          <w:sz w:val="22"/>
          <w:szCs w:val="24"/>
        </w:rPr>
        <w:t xml:space="preserve">Ahmad, D. N., &amp; Basuki, K. H. (2022). </w:t>
      </w:r>
      <w:r w:rsidR="003D630C" w:rsidRPr="003D630C">
        <w:rPr>
          <w:i/>
          <w:iCs/>
          <w:noProof/>
          <w:sz w:val="22"/>
          <w:szCs w:val="24"/>
        </w:rPr>
        <w:t>Menanamkan New Enviromental Paradigma ( Nep ) Dalam Perilaku Ramah Lingkungan Berbasis Masalah</w:t>
      </w:r>
      <w:r w:rsidR="003D630C" w:rsidRPr="003D630C">
        <w:rPr>
          <w:noProof/>
          <w:sz w:val="22"/>
          <w:szCs w:val="24"/>
        </w:rPr>
        <w:t xml:space="preserve">. </w:t>
      </w:r>
      <w:r w:rsidR="003D630C" w:rsidRPr="00475F4A">
        <w:rPr>
          <w:i/>
          <w:iCs/>
          <w:noProof/>
          <w:sz w:val="22"/>
          <w:szCs w:val="24"/>
          <w:lang w:val="it-IT"/>
        </w:rPr>
        <w:t>13</w:t>
      </w:r>
      <w:r w:rsidR="003D630C" w:rsidRPr="00475F4A">
        <w:rPr>
          <w:noProof/>
          <w:sz w:val="22"/>
          <w:szCs w:val="24"/>
          <w:lang w:val="it-IT"/>
        </w:rPr>
        <w:t>(01), 22–24.</w:t>
      </w:r>
    </w:p>
    <w:p w14:paraId="7CD17AC3"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475F4A">
        <w:rPr>
          <w:noProof/>
          <w:sz w:val="22"/>
          <w:szCs w:val="24"/>
          <w:lang w:val="it-IT"/>
        </w:rPr>
        <w:t xml:space="preserve">Andrew Kovesi, T., Cao, Z., Osborne, G., &amp; Egeland, G. M. (2019). </w:t>
      </w:r>
      <w:r w:rsidRPr="003D630C">
        <w:rPr>
          <w:noProof/>
          <w:sz w:val="22"/>
          <w:szCs w:val="24"/>
        </w:rPr>
        <w:t xml:space="preserve">Severe Early Lower Respiratory Tract Infection Is Associated With Subsequent Respiratory Morbidity In Preschool Inuit Children In Nunavut, Canada. </w:t>
      </w:r>
      <w:r w:rsidRPr="003D630C">
        <w:rPr>
          <w:i/>
          <w:iCs/>
          <w:noProof/>
          <w:sz w:val="22"/>
          <w:szCs w:val="24"/>
        </w:rPr>
        <w:t>Journal Of Asthma</w:t>
      </w:r>
      <w:r w:rsidRPr="003D630C">
        <w:rPr>
          <w:noProof/>
          <w:sz w:val="22"/>
          <w:szCs w:val="24"/>
        </w:rPr>
        <w:t xml:space="preserve">, </w:t>
      </w:r>
      <w:r w:rsidRPr="003D630C">
        <w:rPr>
          <w:i/>
          <w:iCs/>
          <w:noProof/>
          <w:sz w:val="22"/>
          <w:szCs w:val="24"/>
        </w:rPr>
        <w:t>48</w:t>
      </w:r>
      <w:r w:rsidRPr="003D630C">
        <w:rPr>
          <w:noProof/>
          <w:sz w:val="22"/>
          <w:szCs w:val="24"/>
        </w:rPr>
        <w:t>(3), 241–247. Https://Doi.Org/10.3109/02770903.2011.560320</w:t>
      </w:r>
    </w:p>
    <w:p w14:paraId="0B5F7F0F" w14:textId="77777777" w:rsidR="003D630C" w:rsidRPr="00475F4A" w:rsidRDefault="003D630C" w:rsidP="003D630C">
      <w:pPr>
        <w:widowControl w:val="0"/>
        <w:autoSpaceDE w:val="0"/>
        <w:autoSpaceDN w:val="0"/>
        <w:adjustRightInd w:val="0"/>
        <w:spacing w:before="120" w:after="120"/>
        <w:ind w:left="480" w:hanging="480"/>
        <w:contextualSpacing w:val="0"/>
        <w:rPr>
          <w:noProof/>
          <w:sz w:val="22"/>
          <w:szCs w:val="24"/>
          <w:lang w:val="it-IT"/>
        </w:rPr>
      </w:pPr>
      <w:r w:rsidRPr="003D630C">
        <w:rPr>
          <w:noProof/>
          <w:sz w:val="22"/>
          <w:szCs w:val="24"/>
        </w:rPr>
        <w:t xml:space="preserve">Ardianto, D., &amp; Hamong, S. (2017). </w:t>
      </w:r>
      <w:r w:rsidRPr="00475F4A">
        <w:rPr>
          <w:i/>
          <w:iCs/>
          <w:noProof/>
          <w:sz w:val="22"/>
          <w:szCs w:val="24"/>
          <w:lang w:val="it-IT"/>
        </w:rPr>
        <w:t>Peraturan Presiden 59 / 2017 : Apresiasi Dan Beberapa Catatan</w:t>
      </w:r>
      <w:r w:rsidRPr="00475F4A">
        <w:rPr>
          <w:noProof/>
          <w:sz w:val="22"/>
          <w:szCs w:val="24"/>
          <w:lang w:val="it-IT"/>
        </w:rPr>
        <w:t>. 1–10.</w:t>
      </w:r>
    </w:p>
    <w:p w14:paraId="699A0B6F"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475F4A">
        <w:rPr>
          <w:noProof/>
          <w:sz w:val="22"/>
          <w:szCs w:val="24"/>
          <w:lang w:val="it-IT"/>
        </w:rPr>
        <w:t xml:space="preserve">Baga, S., Astuty, E. R., Astra, I. M., Budiaman, B., &amp; Hasanah, U. (2022). Perilaku Pro-Lingkungan Peserta Didik Berdasarkan Media Pembelajaran Dan Gender. </w:t>
      </w:r>
      <w:r w:rsidRPr="003D630C">
        <w:rPr>
          <w:i/>
          <w:iCs/>
          <w:noProof/>
          <w:sz w:val="22"/>
          <w:szCs w:val="24"/>
        </w:rPr>
        <w:t>Jurnal Basicedu</w:t>
      </w:r>
      <w:r w:rsidRPr="003D630C">
        <w:rPr>
          <w:noProof/>
          <w:sz w:val="22"/>
          <w:szCs w:val="24"/>
        </w:rPr>
        <w:t xml:space="preserve">, </w:t>
      </w:r>
      <w:r w:rsidRPr="003D630C">
        <w:rPr>
          <w:i/>
          <w:iCs/>
          <w:noProof/>
          <w:sz w:val="22"/>
          <w:szCs w:val="24"/>
        </w:rPr>
        <w:t>6</w:t>
      </w:r>
      <w:r w:rsidRPr="003D630C">
        <w:rPr>
          <w:noProof/>
          <w:sz w:val="22"/>
          <w:szCs w:val="24"/>
        </w:rPr>
        <w:t>(5), 8368–8380. Https://Doi.Org/10.31004/Basicedu.V6i5.3809</w:t>
      </w:r>
    </w:p>
    <w:p w14:paraId="55B588E0"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Bernstein, J., &amp; Szuster, B. W. (2019). The New Environmental Paradigm Scale: Reassessing The Operationalization Of Contemporary Environmentalism. </w:t>
      </w:r>
      <w:r w:rsidRPr="003D630C">
        <w:rPr>
          <w:i/>
          <w:iCs/>
          <w:noProof/>
          <w:sz w:val="22"/>
          <w:szCs w:val="24"/>
        </w:rPr>
        <w:t>Journal Of Environmental Education</w:t>
      </w:r>
      <w:r w:rsidRPr="003D630C">
        <w:rPr>
          <w:noProof/>
          <w:sz w:val="22"/>
          <w:szCs w:val="24"/>
        </w:rPr>
        <w:t xml:space="preserve">, </w:t>
      </w:r>
      <w:r w:rsidRPr="003D630C">
        <w:rPr>
          <w:i/>
          <w:iCs/>
          <w:noProof/>
          <w:sz w:val="22"/>
          <w:szCs w:val="24"/>
        </w:rPr>
        <w:t>50</w:t>
      </w:r>
      <w:r w:rsidRPr="003D630C">
        <w:rPr>
          <w:noProof/>
          <w:sz w:val="22"/>
          <w:szCs w:val="24"/>
        </w:rPr>
        <w:t>(2), 73–83. Https://Doi.Org/10.1080/00958964.2018.1512946</w:t>
      </w:r>
    </w:p>
    <w:p w14:paraId="3050D444"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Delomenie, M., Schneider, F., Beaudet, J., Gabriel, R., Bednarek, N., &amp; Graesslin, O. (2015). Carbon Monoxide Poisoning During Pregnancy: Presentation Of A Rare Severe Case With Fetal Bladder Complications. </w:t>
      </w:r>
      <w:r w:rsidRPr="003D630C">
        <w:rPr>
          <w:i/>
          <w:iCs/>
          <w:noProof/>
          <w:sz w:val="22"/>
          <w:szCs w:val="24"/>
        </w:rPr>
        <w:t>Case Reports In Obstetrics And Gynecology</w:t>
      </w:r>
      <w:r w:rsidRPr="003D630C">
        <w:rPr>
          <w:noProof/>
          <w:sz w:val="22"/>
          <w:szCs w:val="24"/>
        </w:rPr>
        <w:t xml:space="preserve">, </w:t>
      </w:r>
      <w:r w:rsidRPr="003D630C">
        <w:rPr>
          <w:i/>
          <w:iCs/>
          <w:noProof/>
          <w:sz w:val="22"/>
          <w:szCs w:val="24"/>
        </w:rPr>
        <w:t>2015</w:t>
      </w:r>
      <w:r w:rsidRPr="003D630C">
        <w:rPr>
          <w:noProof/>
          <w:sz w:val="22"/>
          <w:szCs w:val="24"/>
        </w:rPr>
        <w:t>, 1–3. Https://Doi.Org/10.1155/2015/687975</w:t>
      </w:r>
    </w:p>
    <w:p w14:paraId="27EBF4D8"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Derdowski, L. A., Grahn, Å. H., Hansen, H., &amp; Skeiseid, H. (2020). The New Ecological Paradigm, Pro-Environmental Behaviour, And The Moderating Effects Of Locus Of Control And Self-Construal. </w:t>
      </w:r>
      <w:r w:rsidRPr="003D630C">
        <w:rPr>
          <w:i/>
          <w:iCs/>
          <w:noProof/>
          <w:sz w:val="22"/>
          <w:szCs w:val="24"/>
        </w:rPr>
        <w:t>Sustainability (Switzerland)</w:t>
      </w:r>
      <w:r w:rsidRPr="003D630C">
        <w:rPr>
          <w:noProof/>
          <w:sz w:val="22"/>
          <w:szCs w:val="24"/>
        </w:rPr>
        <w:t xml:space="preserve">, </w:t>
      </w:r>
      <w:r w:rsidRPr="003D630C">
        <w:rPr>
          <w:i/>
          <w:iCs/>
          <w:noProof/>
          <w:sz w:val="22"/>
          <w:szCs w:val="24"/>
        </w:rPr>
        <w:t>12</w:t>
      </w:r>
      <w:r w:rsidRPr="003D630C">
        <w:rPr>
          <w:noProof/>
          <w:sz w:val="22"/>
          <w:szCs w:val="24"/>
        </w:rPr>
        <w:t>(18), 7–9. Https://Doi.Org/10.3390/Su12187728</w:t>
      </w:r>
    </w:p>
    <w:p w14:paraId="221CC887"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Dunlap, R. E., Van Liere, K. D., Mertig, A. G., &amp; Jones, R. E. (2000). Measuring Endorsement Of The New Ecological Paradigm: A Revised Nep Scale. </w:t>
      </w:r>
      <w:r w:rsidRPr="003D630C">
        <w:rPr>
          <w:i/>
          <w:iCs/>
          <w:noProof/>
          <w:sz w:val="22"/>
          <w:szCs w:val="24"/>
        </w:rPr>
        <w:t>Journal Of Social Issues</w:t>
      </w:r>
      <w:r w:rsidRPr="003D630C">
        <w:rPr>
          <w:noProof/>
          <w:sz w:val="22"/>
          <w:szCs w:val="24"/>
        </w:rPr>
        <w:t xml:space="preserve">, </w:t>
      </w:r>
      <w:r w:rsidRPr="003D630C">
        <w:rPr>
          <w:i/>
          <w:iCs/>
          <w:noProof/>
          <w:sz w:val="22"/>
          <w:szCs w:val="24"/>
        </w:rPr>
        <w:t>56</w:t>
      </w:r>
      <w:r w:rsidRPr="003D630C">
        <w:rPr>
          <w:noProof/>
          <w:sz w:val="22"/>
          <w:szCs w:val="24"/>
        </w:rPr>
        <w:t>(3), 425–442. Https://Doi.Org/10.1111/0022-4537.00176</w:t>
      </w:r>
    </w:p>
    <w:p w14:paraId="4545B683"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Gould, G. S., Havard, A., Lim, L. L., &amp; Kumar, R. (2020). Exposure To Tobacco, Environmental Tobacco Smoke And Nicotine In Pregnancy: A Pragmatic Overview Of Reviews Of Maternal And Child Outcomes, Effectiveness Of Interventions And Barriers And Facilitators To Quitting. </w:t>
      </w:r>
      <w:r w:rsidRPr="003D630C">
        <w:rPr>
          <w:i/>
          <w:iCs/>
          <w:noProof/>
          <w:sz w:val="22"/>
          <w:szCs w:val="24"/>
        </w:rPr>
        <w:t>International Journal Of Environmental Research And Public Health</w:t>
      </w:r>
      <w:r w:rsidRPr="003D630C">
        <w:rPr>
          <w:noProof/>
          <w:sz w:val="22"/>
          <w:szCs w:val="24"/>
        </w:rPr>
        <w:t xml:space="preserve">, </w:t>
      </w:r>
      <w:r w:rsidRPr="003D630C">
        <w:rPr>
          <w:i/>
          <w:iCs/>
          <w:noProof/>
          <w:sz w:val="22"/>
          <w:szCs w:val="24"/>
        </w:rPr>
        <w:t>17</w:t>
      </w:r>
      <w:r w:rsidRPr="003D630C">
        <w:rPr>
          <w:noProof/>
          <w:sz w:val="22"/>
          <w:szCs w:val="24"/>
        </w:rPr>
        <w:t>(6), 2034. Https://Doi.Org/10.3390/Ijerph17062034</w:t>
      </w:r>
    </w:p>
    <w:p w14:paraId="1E77A6C5"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Harahap, I. S., Matondang, I. Z., Suryanto, Indah, E. K., &amp; Fitri, I. (2021). Mapping Climate Classification Of Oldeman In Agricultural Resources Management In South Tapanuli District. </w:t>
      </w:r>
      <w:r w:rsidRPr="003D630C">
        <w:rPr>
          <w:i/>
          <w:iCs/>
          <w:noProof/>
          <w:sz w:val="22"/>
          <w:szCs w:val="24"/>
        </w:rPr>
        <w:t>Iop Conference Series: Materials Science And Engineering</w:t>
      </w:r>
      <w:r w:rsidRPr="003D630C">
        <w:rPr>
          <w:noProof/>
          <w:sz w:val="22"/>
          <w:szCs w:val="24"/>
        </w:rPr>
        <w:t xml:space="preserve">, </w:t>
      </w:r>
      <w:r w:rsidRPr="003D630C">
        <w:rPr>
          <w:i/>
          <w:iCs/>
          <w:noProof/>
          <w:sz w:val="22"/>
          <w:szCs w:val="24"/>
        </w:rPr>
        <w:t>1156</w:t>
      </w:r>
      <w:r w:rsidRPr="003D630C">
        <w:rPr>
          <w:noProof/>
          <w:sz w:val="22"/>
          <w:szCs w:val="24"/>
        </w:rPr>
        <w:t>(1), 012002. Https://Doi.Org/10.1088/1757-899x/1156/1/012002</w:t>
      </w:r>
    </w:p>
    <w:p w14:paraId="6F458B9C"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475F4A">
        <w:rPr>
          <w:noProof/>
          <w:sz w:val="22"/>
          <w:szCs w:val="24"/>
          <w:lang w:val="it-IT"/>
        </w:rPr>
        <w:t xml:space="preserve">Haruyama, R., Okawa, S., Akaba, H., Obara, H., &amp; Fujita, N. (2021). </w:t>
      </w:r>
      <w:r w:rsidRPr="003D630C">
        <w:rPr>
          <w:noProof/>
          <w:sz w:val="22"/>
          <w:szCs w:val="24"/>
        </w:rPr>
        <w:t xml:space="preserve">A Review Of The Implementation Status Of And National Plans On Hpv Vaccination In 17 Middle-Income Countries Of The Who Western Pacific Region. </w:t>
      </w:r>
      <w:r w:rsidRPr="003D630C">
        <w:rPr>
          <w:i/>
          <w:iCs/>
          <w:noProof/>
          <w:sz w:val="22"/>
          <w:szCs w:val="24"/>
        </w:rPr>
        <w:t>Vaccines</w:t>
      </w:r>
      <w:r w:rsidRPr="003D630C">
        <w:rPr>
          <w:noProof/>
          <w:sz w:val="22"/>
          <w:szCs w:val="24"/>
        </w:rPr>
        <w:t xml:space="preserve">, </w:t>
      </w:r>
      <w:r w:rsidRPr="003D630C">
        <w:rPr>
          <w:i/>
          <w:iCs/>
          <w:noProof/>
          <w:sz w:val="22"/>
          <w:szCs w:val="24"/>
        </w:rPr>
        <w:t>9</w:t>
      </w:r>
      <w:r w:rsidRPr="003D630C">
        <w:rPr>
          <w:noProof/>
          <w:sz w:val="22"/>
          <w:szCs w:val="24"/>
        </w:rPr>
        <w:t>(11), 1355. Https://Doi.Org/10.3390/Vaccines9111355</w:t>
      </w:r>
    </w:p>
    <w:p w14:paraId="5A09DAC7"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Hassanzad, M., Khalilzadeh, S., Nobari, S. E., Bloursaz, M., Sharifi, H., Mohajerani, S. A., Nejad, S. T., &amp; Velayati, A. A. (2015). Cotinine Level Is Associated With Asthma Severity In Passive Smoker Children. </w:t>
      </w:r>
      <w:r w:rsidRPr="003D630C">
        <w:rPr>
          <w:i/>
          <w:iCs/>
          <w:noProof/>
          <w:sz w:val="22"/>
          <w:szCs w:val="24"/>
        </w:rPr>
        <w:t>Iranian Journal Of Allergy, Asthma And Immunology</w:t>
      </w:r>
      <w:r w:rsidRPr="003D630C">
        <w:rPr>
          <w:noProof/>
          <w:sz w:val="22"/>
          <w:szCs w:val="24"/>
        </w:rPr>
        <w:t>, 67–73. Http://Ijaai.Tums.Ac.Ir</w:t>
      </w:r>
    </w:p>
    <w:p w14:paraId="471AEEEA"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Ibraheem, R. M., Aderemi, J. A., Abdulkadir, M. B., &amp; Johnson, W. B. R. (2020). Burden And Spectrum Of Paediatric Respiratory Diseases At A Referral Hospital In North-Central Nigeria - A Five Year Review. </w:t>
      </w:r>
      <w:r w:rsidRPr="003D630C">
        <w:rPr>
          <w:i/>
          <w:iCs/>
          <w:noProof/>
          <w:sz w:val="22"/>
          <w:szCs w:val="24"/>
        </w:rPr>
        <w:t>African Journal Of Emergency Medicine</w:t>
      </w:r>
      <w:r w:rsidRPr="003D630C">
        <w:rPr>
          <w:noProof/>
          <w:sz w:val="22"/>
          <w:szCs w:val="24"/>
        </w:rPr>
        <w:t xml:space="preserve">, </w:t>
      </w:r>
      <w:r w:rsidRPr="003D630C">
        <w:rPr>
          <w:i/>
          <w:iCs/>
          <w:noProof/>
          <w:sz w:val="22"/>
          <w:szCs w:val="24"/>
        </w:rPr>
        <w:t>10</w:t>
      </w:r>
      <w:r w:rsidRPr="003D630C">
        <w:rPr>
          <w:noProof/>
          <w:sz w:val="22"/>
          <w:szCs w:val="24"/>
        </w:rPr>
        <w:t>(1), 3–7. Https://Doi.Org/10.1016/J.Afjem.2019.09.001</w:t>
      </w:r>
    </w:p>
    <w:p w14:paraId="6F4C730D"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Lundegård, S. B., Sellgren, G., &amp; Demetriades, M. (2020). </w:t>
      </w:r>
      <w:r w:rsidRPr="003D630C">
        <w:rPr>
          <w:i/>
          <w:iCs/>
          <w:noProof/>
          <w:sz w:val="22"/>
          <w:szCs w:val="24"/>
        </w:rPr>
        <w:t>Belajar Cara Hidup Berkelanjutan</w:t>
      </w:r>
      <w:r w:rsidRPr="003D630C">
        <w:rPr>
          <w:noProof/>
          <w:sz w:val="22"/>
          <w:szCs w:val="24"/>
        </w:rPr>
        <w:t>. 1–39.</w:t>
      </w:r>
    </w:p>
    <w:p w14:paraId="62E6B713"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Masripatin, N., Ginoga, K. L., Ridha, D. M., Purbo, A., Wibowo, A., Tobing, L. B., Widyaningtyas, N., Widayati, T., Bagiyono, R., Anwar, S., &amp; Farid, M. (2016). </w:t>
      </w:r>
      <w:r w:rsidRPr="003D630C">
        <w:rPr>
          <w:i/>
          <w:iCs/>
          <w:noProof/>
          <w:sz w:val="22"/>
          <w:szCs w:val="24"/>
        </w:rPr>
        <w:t>Perubahan Iklim, Perjanjian Paris Dan Nationally Determined Contribution</w:t>
      </w:r>
      <w:r w:rsidRPr="003D630C">
        <w:rPr>
          <w:noProof/>
          <w:sz w:val="22"/>
          <w:szCs w:val="24"/>
        </w:rPr>
        <w:t>.</w:t>
      </w:r>
    </w:p>
    <w:p w14:paraId="480A4FC2"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Pradana, O. C. P., &amp; Sesanti, R. N. (2018). Analisis Dampak Perubahan Iklim Terhadap Curah Hujan Berdasarkan Perubahan Zona Agroklimatologi Pada Skala Lokal Politeknik Negeri Lampung. </w:t>
      </w:r>
      <w:r w:rsidRPr="003D630C">
        <w:rPr>
          <w:i/>
          <w:iCs/>
          <w:noProof/>
          <w:sz w:val="22"/>
          <w:szCs w:val="24"/>
        </w:rPr>
        <w:t>Jurnal Wacana Pertanian</w:t>
      </w:r>
      <w:r w:rsidRPr="003D630C">
        <w:rPr>
          <w:noProof/>
          <w:sz w:val="22"/>
          <w:szCs w:val="24"/>
        </w:rPr>
        <w:t xml:space="preserve">, </w:t>
      </w:r>
      <w:r w:rsidRPr="003D630C">
        <w:rPr>
          <w:i/>
          <w:iCs/>
          <w:noProof/>
          <w:sz w:val="22"/>
          <w:szCs w:val="24"/>
        </w:rPr>
        <w:t>14</w:t>
      </w:r>
      <w:r w:rsidRPr="003D630C">
        <w:rPr>
          <w:noProof/>
          <w:sz w:val="22"/>
          <w:szCs w:val="24"/>
        </w:rPr>
        <w:t>(1), 24–31.</w:t>
      </w:r>
    </w:p>
    <w:p w14:paraId="4EA2A8FB" w14:textId="77777777" w:rsidR="003D630C" w:rsidRPr="00475F4A" w:rsidRDefault="003D630C" w:rsidP="003D630C">
      <w:pPr>
        <w:widowControl w:val="0"/>
        <w:autoSpaceDE w:val="0"/>
        <w:autoSpaceDN w:val="0"/>
        <w:adjustRightInd w:val="0"/>
        <w:spacing w:before="120" w:after="120"/>
        <w:ind w:left="480" w:hanging="480"/>
        <w:contextualSpacing w:val="0"/>
        <w:rPr>
          <w:noProof/>
          <w:sz w:val="22"/>
          <w:szCs w:val="24"/>
          <w:lang w:val="it-IT"/>
        </w:rPr>
      </w:pPr>
      <w:r w:rsidRPr="003D630C">
        <w:rPr>
          <w:noProof/>
          <w:sz w:val="22"/>
          <w:szCs w:val="24"/>
        </w:rPr>
        <w:t xml:space="preserve">Putrawan, I. M. (2021). </w:t>
      </w:r>
      <w:r w:rsidRPr="003D630C">
        <w:rPr>
          <w:i/>
          <w:iCs/>
          <w:noProof/>
          <w:sz w:val="22"/>
          <w:szCs w:val="24"/>
        </w:rPr>
        <w:t>Pengaruh New Environmental Paradigm Dan Environmental Sensitivity Terhadap Responsible Environmental Behavior Siswa ( Studi Kausal Terhadap Siswa Sman 100 Jakarta ) Bagaimana Cara Merubah Perilaku Manusia Dalam Berinteraksi Dengan Baik Secara Formal Yaitu</w:t>
      </w:r>
      <w:r w:rsidRPr="003D630C">
        <w:rPr>
          <w:noProof/>
          <w:sz w:val="22"/>
          <w:szCs w:val="24"/>
        </w:rPr>
        <w:t xml:space="preserve">. </w:t>
      </w:r>
      <w:r w:rsidRPr="00475F4A">
        <w:rPr>
          <w:i/>
          <w:iCs/>
          <w:noProof/>
          <w:sz w:val="22"/>
          <w:szCs w:val="24"/>
          <w:lang w:val="it-IT"/>
        </w:rPr>
        <w:t>6</w:t>
      </w:r>
      <w:r w:rsidRPr="00475F4A">
        <w:rPr>
          <w:noProof/>
          <w:sz w:val="22"/>
          <w:szCs w:val="24"/>
          <w:lang w:val="it-IT"/>
        </w:rPr>
        <w:t>(1), 66–77.</w:t>
      </w:r>
    </w:p>
    <w:p w14:paraId="5139876A"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475F4A">
        <w:rPr>
          <w:noProof/>
          <w:sz w:val="22"/>
          <w:szCs w:val="24"/>
          <w:lang w:val="it-IT"/>
        </w:rPr>
        <w:t xml:space="preserve">Salvia, A. L., Leal Filho, W., Brandli, L. L., &amp; Griebeler, J. S. (2019). </w:t>
      </w:r>
      <w:r w:rsidRPr="003D630C">
        <w:rPr>
          <w:noProof/>
          <w:sz w:val="22"/>
          <w:szCs w:val="24"/>
        </w:rPr>
        <w:t xml:space="preserve">Assessing Research Trends Related To Sustainable Development Goals: Local And Global Issues. </w:t>
      </w:r>
      <w:r w:rsidRPr="003D630C">
        <w:rPr>
          <w:i/>
          <w:iCs/>
          <w:noProof/>
          <w:sz w:val="22"/>
          <w:szCs w:val="24"/>
        </w:rPr>
        <w:t>Journal Of Cleaner Production</w:t>
      </w:r>
      <w:r w:rsidRPr="003D630C">
        <w:rPr>
          <w:noProof/>
          <w:sz w:val="22"/>
          <w:szCs w:val="24"/>
        </w:rPr>
        <w:t xml:space="preserve">, </w:t>
      </w:r>
      <w:r w:rsidRPr="003D630C">
        <w:rPr>
          <w:i/>
          <w:iCs/>
          <w:noProof/>
          <w:sz w:val="22"/>
          <w:szCs w:val="24"/>
        </w:rPr>
        <w:t>208</w:t>
      </w:r>
      <w:r w:rsidRPr="003D630C">
        <w:rPr>
          <w:noProof/>
          <w:sz w:val="22"/>
          <w:szCs w:val="24"/>
        </w:rPr>
        <w:t>, 841–849. Https://Doi.Org/10.1016/J.Jclepro.2018.09.242</w:t>
      </w:r>
    </w:p>
    <w:p w14:paraId="270CCC5E"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szCs w:val="24"/>
        </w:rPr>
      </w:pPr>
      <w:r w:rsidRPr="003D630C">
        <w:rPr>
          <w:noProof/>
          <w:sz w:val="22"/>
          <w:szCs w:val="24"/>
        </w:rPr>
        <w:t xml:space="preserve">Talakua, C., &amp; Sesca Elly, S. (2020). Pengaruh Penggunaan Media Pembelajaran Biologi Berbasis Mobile Learning Terhadap Minat Dan Kemampuan Berpikir Kreatif Siswa Sma Kota Masohi. </w:t>
      </w:r>
      <w:r w:rsidRPr="003D630C">
        <w:rPr>
          <w:i/>
          <w:iCs/>
          <w:noProof/>
          <w:sz w:val="22"/>
          <w:szCs w:val="24"/>
        </w:rPr>
        <w:t>Biodik</w:t>
      </w:r>
      <w:r w:rsidRPr="003D630C">
        <w:rPr>
          <w:noProof/>
          <w:sz w:val="22"/>
          <w:szCs w:val="24"/>
        </w:rPr>
        <w:t xml:space="preserve">, </w:t>
      </w:r>
      <w:r w:rsidRPr="003D630C">
        <w:rPr>
          <w:i/>
          <w:iCs/>
          <w:noProof/>
          <w:sz w:val="22"/>
          <w:szCs w:val="24"/>
        </w:rPr>
        <w:t>6</w:t>
      </w:r>
      <w:r w:rsidRPr="003D630C">
        <w:rPr>
          <w:noProof/>
          <w:sz w:val="22"/>
          <w:szCs w:val="24"/>
        </w:rPr>
        <w:t>(1), 46–57. Https://Doi.Org/10.22437/Bio.V6i1.8061</w:t>
      </w:r>
    </w:p>
    <w:p w14:paraId="31090A57" w14:textId="77777777" w:rsidR="003D630C" w:rsidRPr="00475F4A" w:rsidRDefault="003D630C" w:rsidP="003D630C">
      <w:pPr>
        <w:widowControl w:val="0"/>
        <w:autoSpaceDE w:val="0"/>
        <w:autoSpaceDN w:val="0"/>
        <w:adjustRightInd w:val="0"/>
        <w:spacing w:before="120" w:after="120"/>
        <w:ind w:left="480" w:hanging="480"/>
        <w:contextualSpacing w:val="0"/>
        <w:rPr>
          <w:noProof/>
          <w:sz w:val="22"/>
          <w:szCs w:val="24"/>
          <w:lang w:val="it-IT"/>
        </w:rPr>
      </w:pPr>
      <w:r w:rsidRPr="003D630C">
        <w:rPr>
          <w:noProof/>
          <w:sz w:val="22"/>
          <w:szCs w:val="24"/>
        </w:rPr>
        <w:t xml:space="preserve">Utari, E., &amp; Mahrawi, M. (2019). </w:t>
      </w:r>
      <w:r w:rsidRPr="003D630C">
        <w:rPr>
          <w:i/>
          <w:iCs/>
          <w:noProof/>
          <w:sz w:val="22"/>
          <w:szCs w:val="24"/>
        </w:rPr>
        <w:t>Interkorelasi Kecerdasan Naturalistik Dan The New Environmental Paradigm (Nep) Mahasiswa Program Studi</w:t>
      </w:r>
      <w:r w:rsidRPr="003D630C">
        <w:rPr>
          <w:noProof/>
          <w:sz w:val="22"/>
          <w:szCs w:val="24"/>
        </w:rPr>
        <w:t xml:space="preserve">. </w:t>
      </w:r>
      <w:r w:rsidRPr="00475F4A">
        <w:rPr>
          <w:i/>
          <w:iCs/>
          <w:noProof/>
          <w:sz w:val="22"/>
          <w:szCs w:val="24"/>
          <w:lang w:val="it-IT"/>
        </w:rPr>
        <w:t>2</w:t>
      </w:r>
      <w:r w:rsidRPr="00475F4A">
        <w:rPr>
          <w:noProof/>
          <w:sz w:val="22"/>
          <w:szCs w:val="24"/>
          <w:lang w:val="it-IT"/>
        </w:rPr>
        <w:t>(1), 750–758.</w:t>
      </w:r>
    </w:p>
    <w:p w14:paraId="42DE7D6D" w14:textId="77777777" w:rsidR="003D630C" w:rsidRPr="003D630C" w:rsidRDefault="003D630C" w:rsidP="003D630C">
      <w:pPr>
        <w:widowControl w:val="0"/>
        <w:autoSpaceDE w:val="0"/>
        <w:autoSpaceDN w:val="0"/>
        <w:adjustRightInd w:val="0"/>
        <w:spacing w:before="120" w:after="120"/>
        <w:ind w:left="480" w:hanging="480"/>
        <w:contextualSpacing w:val="0"/>
        <w:rPr>
          <w:noProof/>
          <w:sz w:val="22"/>
        </w:rPr>
      </w:pPr>
      <w:r w:rsidRPr="00475F4A">
        <w:rPr>
          <w:noProof/>
          <w:sz w:val="22"/>
          <w:szCs w:val="24"/>
          <w:lang w:val="it-IT"/>
        </w:rPr>
        <w:t xml:space="preserve">Yusup, F. (2021). Profil Literasi Lingkungan Mahasiswa Calon Guru Ipa. </w:t>
      </w:r>
      <w:r w:rsidRPr="00475F4A">
        <w:rPr>
          <w:i/>
          <w:iCs/>
          <w:noProof/>
          <w:sz w:val="22"/>
          <w:szCs w:val="24"/>
          <w:lang w:val="it-IT"/>
        </w:rPr>
        <w:t>Quantum: Jurnal Inovasi Pendidikan Sains</w:t>
      </w:r>
      <w:r w:rsidRPr="00475F4A">
        <w:rPr>
          <w:noProof/>
          <w:sz w:val="22"/>
          <w:szCs w:val="24"/>
          <w:lang w:val="it-IT"/>
        </w:rPr>
        <w:t xml:space="preserve">, </w:t>
      </w:r>
      <w:r w:rsidRPr="00475F4A">
        <w:rPr>
          <w:i/>
          <w:iCs/>
          <w:noProof/>
          <w:sz w:val="22"/>
          <w:szCs w:val="24"/>
          <w:lang w:val="it-IT"/>
        </w:rPr>
        <w:t>12</w:t>
      </w:r>
      <w:r w:rsidRPr="00475F4A">
        <w:rPr>
          <w:noProof/>
          <w:sz w:val="22"/>
          <w:szCs w:val="24"/>
          <w:lang w:val="it-IT"/>
        </w:rPr>
        <w:t xml:space="preserve">(1), 128. </w:t>
      </w:r>
      <w:r w:rsidRPr="003D630C">
        <w:rPr>
          <w:noProof/>
          <w:sz w:val="22"/>
          <w:szCs w:val="24"/>
        </w:rPr>
        <w:t>Https://Doi.Org/10.20527/Quantum.V12i1.10098</w:t>
      </w:r>
    </w:p>
    <w:p w14:paraId="6C7EA5EC" w14:textId="77777777" w:rsidR="00541F78" w:rsidRPr="00BF55AA" w:rsidRDefault="00F60725" w:rsidP="003D630C">
      <w:pPr>
        <w:widowControl w:val="0"/>
        <w:autoSpaceDE w:val="0"/>
        <w:autoSpaceDN w:val="0"/>
        <w:adjustRightInd w:val="0"/>
        <w:spacing w:before="120" w:after="120"/>
        <w:contextualSpacing w:val="0"/>
        <w:rPr>
          <w:sz w:val="22"/>
          <w:lang w:val="id-ID"/>
        </w:rPr>
      </w:pPr>
      <w:r>
        <w:rPr>
          <w:sz w:val="22"/>
          <w:lang w:val="id-ID"/>
        </w:rPr>
        <w:fldChar w:fldCharType="end"/>
      </w:r>
    </w:p>
    <w:sectPr w:rsidR="00541F78" w:rsidRPr="00BF55AA" w:rsidSect="007C073B">
      <w:headerReference w:type="even" r:id="rId18"/>
      <w:headerReference w:type="default" r:id="rId19"/>
      <w:footerReference w:type="even" r:id="rId20"/>
      <w:footerReference w:type="default" r:id="rId21"/>
      <w:pgSz w:w="11907" w:h="16839" w:code="9"/>
      <w:pgMar w:top="1418" w:right="1418" w:bottom="1418" w:left="141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71F9D" w14:textId="77777777" w:rsidR="001A0418" w:rsidRDefault="001A0418" w:rsidP="001C2C25">
      <w:r>
        <w:separator/>
      </w:r>
    </w:p>
  </w:endnote>
  <w:endnote w:type="continuationSeparator" w:id="0">
    <w:p w14:paraId="046CA9A0" w14:textId="77777777" w:rsidR="001A0418" w:rsidRDefault="001A0418" w:rsidP="001C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374895648"/>
      <w:docPartObj>
        <w:docPartGallery w:val="Page Numbers (Bottom of Page)"/>
        <w:docPartUnique/>
      </w:docPartObj>
    </w:sdtPr>
    <w:sdtEndPr>
      <w:rPr>
        <w:noProof/>
      </w:rPr>
    </w:sdtEndPr>
    <w:sdtContent>
      <w:p w14:paraId="1ED381F4" w14:textId="264B3251" w:rsidR="007100E1" w:rsidRPr="00776F95" w:rsidRDefault="007100E1" w:rsidP="00776F95">
        <w:pPr>
          <w:pStyle w:val="Footer"/>
          <w:jc w:val="center"/>
          <w:rPr>
            <w:sz w:val="20"/>
            <w:szCs w:val="18"/>
            <w:lang w:val="it-IT"/>
          </w:rPr>
        </w:pPr>
        <w:r w:rsidRPr="007100E1">
          <w:rPr>
            <w:sz w:val="20"/>
            <w:szCs w:val="18"/>
          </w:rPr>
          <w:fldChar w:fldCharType="begin"/>
        </w:r>
        <w:r w:rsidRPr="007100E1">
          <w:rPr>
            <w:sz w:val="20"/>
            <w:szCs w:val="18"/>
          </w:rPr>
          <w:instrText xml:space="preserve"> PAGE   \* MERGEFORMAT </w:instrText>
        </w:r>
        <w:r w:rsidRPr="007100E1">
          <w:rPr>
            <w:sz w:val="20"/>
            <w:szCs w:val="18"/>
          </w:rPr>
          <w:fldChar w:fldCharType="separate"/>
        </w:r>
        <w:r w:rsidRPr="007100E1">
          <w:rPr>
            <w:noProof/>
            <w:sz w:val="20"/>
            <w:szCs w:val="18"/>
          </w:rPr>
          <w:t>2</w:t>
        </w:r>
        <w:r w:rsidRPr="007100E1">
          <w:rPr>
            <w:noProof/>
            <w:sz w:val="20"/>
            <w:szCs w:val="18"/>
          </w:rPr>
          <w:fldChar w:fldCharType="end"/>
        </w:r>
      </w:p>
    </w:sdtContent>
  </w:sdt>
  <w:p w14:paraId="1E3D60F8" w14:textId="77777777" w:rsidR="007100E1" w:rsidRPr="007100E1" w:rsidRDefault="007100E1">
    <w:pPr>
      <w:pStyle w:val="Footer"/>
      <w:rPr>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1188751389"/>
      <w:docPartObj>
        <w:docPartGallery w:val="Page Numbers (Bottom of Page)"/>
        <w:docPartUnique/>
      </w:docPartObj>
    </w:sdtPr>
    <w:sdtEndPr>
      <w:rPr>
        <w:noProof/>
      </w:rPr>
    </w:sdtEndPr>
    <w:sdtContent>
      <w:p w14:paraId="2A4EC754" w14:textId="33CE9352" w:rsidR="007100E1" w:rsidRPr="007100E1" w:rsidRDefault="007100E1" w:rsidP="007100E1">
        <w:pPr>
          <w:pStyle w:val="Footer"/>
          <w:jc w:val="left"/>
          <w:rPr>
            <w:sz w:val="20"/>
            <w:szCs w:val="18"/>
            <w:lang w:val="it-IT"/>
          </w:rPr>
        </w:pPr>
        <w:r w:rsidRPr="00863A00">
          <w:rPr>
            <w:sz w:val="20"/>
            <w:szCs w:val="20"/>
            <w:lang w:val="it-IT"/>
          </w:rPr>
          <w:t>Info Artikel : Diterima April 2024 | Disetui Mei 2024 | Dipublikasikan June 2024</w:t>
        </w:r>
      </w:p>
      <w:p w14:paraId="34C3FFBA" w14:textId="47B29D71" w:rsidR="00475F4A" w:rsidRPr="007100E1" w:rsidRDefault="00475F4A">
        <w:pPr>
          <w:pStyle w:val="Footer"/>
          <w:jc w:val="center"/>
          <w:rPr>
            <w:sz w:val="20"/>
            <w:szCs w:val="18"/>
          </w:rPr>
        </w:pPr>
        <w:r w:rsidRPr="007100E1">
          <w:rPr>
            <w:sz w:val="20"/>
            <w:szCs w:val="18"/>
          </w:rPr>
          <w:fldChar w:fldCharType="begin"/>
        </w:r>
        <w:r w:rsidRPr="007100E1">
          <w:rPr>
            <w:sz w:val="20"/>
            <w:szCs w:val="18"/>
          </w:rPr>
          <w:instrText xml:space="preserve"> PAGE   \* MERGEFORMAT </w:instrText>
        </w:r>
        <w:r w:rsidRPr="007100E1">
          <w:rPr>
            <w:sz w:val="20"/>
            <w:szCs w:val="18"/>
          </w:rPr>
          <w:fldChar w:fldCharType="separate"/>
        </w:r>
        <w:r w:rsidRPr="007100E1">
          <w:rPr>
            <w:noProof/>
            <w:sz w:val="20"/>
            <w:szCs w:val="18"/>
          </w:rPr>
          <w:t>2</w:t>
        </w:r>
        <w:r w:rsidRPr="007100E1">
          <w:rPr>
            <w:noProof/>
            <w:sz w:val="20"/>
            <w:szCs w:val="18"/>
          </w:rPr>
          <w:fldChar w:fldCharType="end"/>
        </w:r>
      </w:p>
    </w:sdtContent>
  </w:sdt>
  <w:p w14:paraId="21195CE6" w14:textId="77777777" w:rsidR="004A7B0C" w:rsidRPr="007100E1" w:rsidRDefault="004A7B0C">
    <w:pPr>
      <w:pStyle w:val="Footer"/>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1252850509"/>
      <w:docPartObj>
        <w:docPartGallery w:val="Page Numbers (Bottom of Page)"/>
        <w:docPartUnique/>
      </w:docPartObj>
    </w:sdtPr>
    <w:sdtEndPr>
      <w:rPr>
        <w:noProof/>
      </w:rPr>
    </w:sdtEndPr>
    <w:sdtContent>
      <w:p w14:paraId="137975D1" w14:textId="77777777" w:rsidR="00776F95" w:rsidRPr="00776F95" w:rsidRDefault="00776F95" w:rsidP="00776F95">
        <w:pPr>
          <w:pStyle w:val="Footer"/>
          <w:jc w:val="center"/>
          <w:rPr>
            <w:sz w:val="20"/>
            <w:szCs w:val="18"/>
            <w:lang w:val="it-IT"/>
          </w:rPr>
        </w:pPr>
        <w:r w:rsidRPr="007100E1">
          <w:rPr>
            <w:sz w:val="20"/>
            <w:szCs w:val="18"/>
          </w:rPr>
          <w:fldChar w:fldCharType="begin"/>
        </w:r>
        <w:r w:rsidRPr="007100E1">
          <w:rPr>
            <w:sz w:val="20"/>
            <w:szCs w:val="18"/>
          </w:rPr>
          <w:instrText xml:space="preserve"> PAGE   \* MERGEFORMAT </w:instrText>
        </w:r>
        <w:r w:rsidRPr="007100E1">
          <w:rPr>
            <w:sz w:val="20"/>
            <w:szCs w:val="18"/>
          </w:rPr>
          <w:fldChar w:fldCharType="separate"/>
        </w:r>
        <w:r w:rsidRPr="007100E1">
          <w:rPr>
            <w:noProof/>
            <w:sz w:val="20"/>
            <w:szCs w:val="18"/>
          </w:rPr>
          <w:t>2</w:t>
        </w:r>
        <w:r w:rsidRPr="007100E1">
          <w:rPr>
            <w:noProof/>
            <w:sz w:val="20"/>
            <w:szCs w:val="18"/>
          </w:rPr>
          <w:fldChar w:fldCharType="end"/>
        </w:r>
      </w:p>
    </w:sdtContent>
  </w:sdt>
  <w:p w14:paraId="35A97D1D" w14:textId="77777777" w:rsidR="00776F95" w:rsidRPr="007100E1" w:rsidRDefault="00776F95">
    <w:pPr>
      <w:pStyle w:val="Footer"/>
      <w:rPr>
        <w:sz w:val="20"/>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723101721"/>
      <w:docPartObj>
        <w:docPartGallery w:val="Page Numbers (Bottom of Page)"/>
        <w:docPartUnique/>
      </w:docPartObj>
    </w:sdtPr>
    <w:sdtEndPr>
      <w:rPr>
        <w:noProof/>
      </w:rPr>
    </w:sdtEndPr>
    <w:sdtContent>
      <w:p w14:paraId="21F3E9D8" w14:textId="7C4E334B" w:rsidR="007100E1" w:rsidRPr="007100E1" w:rsidRDefault="007100E1" w:rsidP="007100E1">
        <w:pPr>
          <w:pStyle w:val="Footer"/>
          <w:jc w:val="center"/>
          <w:rPr>
            <w:sz w:val="20"/>
            <w:szCs w:val="18"/>
            <w:lang w:val="it-IT"/>
          </w:rPr>
        </w:pPr>
        <w:r w:rsidRPr="007100E1">
          <w:rPr>
            <w:sz w:val="20"/>
            <w:szCs w:val="18"/>
          </w:rPr>
          <w:fldChar w:fldCharType="begin"/>
        </w:r>
        <w:r w:rsidRPr="007100E1">
          <w:rPr>
            <w:sz w:val="20"/>
            <w:szCs w:val="18"/>
          </w:rPr>
          <w:instrText xml:space="preserve"> PAGE   \* MERGEFORMAT </w:instrText>
        </w:r>
        <w:r w:rsidRPr="007100E1">
          <w:rPr>
            <w:sz w:val="20"/>
            <w:szCs w:val="18"/>
          </w:rPr>
          <w:fldChar w:fldCharType="separate"/>
        </w:r>
        <w:r w:rsidRPr="007100E1">
          <w:rPr>
            <w:noProof/>
            <w:sz w:val="20"/>
            <w:szCs w:val="18"/>
          </w:rPr>
          <w:t>2</w:t>
        </w:r>
        <w:r w:rsidRPr="007100E1">
          <w:rPr>
            <w:noProof/>
            <w:sz w:val="20"/>
            <w:szCs w:val="18"/>
          </w:rPr>
          <w:fldChar w:fldCharType="end"/>
        </w:r>
      </w:p>
    </w:sdtContent>
  </w:sdt>
  <w:p w14:paraId="255ECCC0" w14:textId="77777777" w:rsidR="007100E1" w:rsidRPr="007100E1" w:rsidRDefault="007100E1">
    <w:pPr>
      <w:pStyle w:val="Foo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00C44" w14:textId="77777777" w:rsidR="001A0418" w:rsidRDefault="001A0418" w:rsidP="001C2C25">
      <w:r>
        <w:separator/>
      </w:r>
    </w:p>
  </w:footnote>
  <w:footnote w:type="continuationSeparator" w:id="0">
    <w:p w14:paraId="47E96B93" w14:textId="77777777" w:rsidR="001A0418" w:rsidRDefault="001A0418" w:rsidP="001C2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450A4" w14:textId="77777777" w:rsidR="00776F95" w:rsidRPr="00776F95" w:rsidRDefault="00776F95" w:rsidP="00776F95">
    <w:pPr>
      <w:pStyle w:val="Header"/>
      <w:rPr>
        <w:sz w:val="22"/>
        <w:szCs w:val="18"/>
        <w:lang w:val="id-ID"/>
      </w:rPr>
    </w:pPr>
    <w:r w:rsidRPr="00776F95">
      <w:rPr>
        <w:sz w:val="22"/>
        <w:szCs w:val="18"/>
        <w:lang w:val="id-ID"/>
      </w:rPr>
      <w:t>DE_JOURNAL (Dharmas Education Journal)</w:t>
    </w:r>
  </w:p>
  <w:p w14:paraId="11668669" w14:textId="77777777" w:rsidR="00776F95" w:rsidRPr="00776F95" w:rsidRDefault="00776F95" w:rsidP="00776F95">
    <w:pPr>
      <w:pStyle w:val="Header"/>
      <w:rPr>
        <w:sz w:val="22"/>
        <w:szCs w:val="18"/>
        <w:lang w:val="id-ID"/>
      </w:rPr>
    </w:pPr>
    <w:hyperlink r:id="rId1" w:history="1">
      <w:r w:rsidRPr="00776F95">
        <w:rPr>
          <w:rStyle w:val="Hyperlink"/>
          <w:sz w:val="22"/>
          <w:szCs w:val="18"/>
          <w:lang w:val="id-ID"/>
        </w:rPr>
        <w:t>http://ejournal.undhari.ac.id/index.php/de_journal</w:t>
      </w:r>
    </w:hyperlink>
  </w:p>
  <w:p w14:paraId="253F3407" w14:textId="77777777" w:rsidR="00776F95" w:rsidRPr="00776F95" w:rsidRDefault="00776F95" w:rsidP="00776F95">
    <w:pPr>
      <w:pStyle w:val="Header"/>
      <w:rPr>
        <w:sz w:val="22"/>
        <w:szCs w:val="18"/>
        <w:lang w:val="it-IT"/>
      </w:rPr>
    </w:pPr>
    <w:r w:rsidRPr="00776F95">
      <w:rPr>
        <w:sz w:val="22"/>
        <w:szCs w:val="18"/>
        <w:lang w:val="it-IT"/>
      </w:rPr>
      <w:t>E-ISSN : 2722-7839, P-ISSN : 2746-7732</w:t>
    </w:r>
  </w:p>
  <w:p w14:paraId="3A551BDE" w14:textId="1F89B7B6" w:rsidR="004A7B0C" w:rsidRPr="00776F95" w:rsidRDefault="00776F95" w:rsidP="00776F95">
    <w:pPr>
      <w:pStyle w:val="Header"/>
      <w:rPr>
        <w:sz w:val="22"/>
        <w:szCs w:val="18"/>
        <w:lang w:val="id-ID"/>
      </w:rPr>
    </w:pPr>
    <w:r w:rsidRPr="00776F95">
      <w:rPr>
        <w:sz w:val="22"/>
        <w:szCs w:val="18"/>
        <w:lang w:val="it-IT"/>
      </w:rPr>
      <w:t>Vol. 5 No. 1 June (2024), 668-67</w:t>
    </w:r>
    <w:r>
      <w:rPr>
        <w:sz w:val="22"/>
        <w:szCs w:val="18"/>
        <w:lang w:val="it-IT"/>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F0EA2" w14:textId="77777777" w:rsidR="00475F4A" w:rsidRPr="00475F4A" w:rsidRDefault="00475F4A" w:rsidP="00475F4A">
    <w:pPr>
      <w:pStyle w:val="Header"/>
      <w:rPr>
        <w:rFonts w:ascii="Cambria" w:hAnsi="Cambria"/>
        <w:lang w:val="id-ID"/>
      </w:rPr>
    </w:pPr>
    <w:r w:rsidRPr="00475F4A">
      <w:rPr>
        <w:rFonts w:ascii="Cambria" w:hAnsi="Cambria"/>
        <w:lang w:val="id-ID"/>
      </w:rPr>
      <w:t>DE_JOURNAL (Dharmas Education Journal)</w:t>
    </w:r>
  </w:p>
  <w:p w14:paraId="0CA127A2" w14:textId="77777777" w:rsidR="00475F4A" w:rsidRPr="00475F4A" w:rsidRDefault="00475F4A" w:rsidP="00475F4A">
    <w:pPr>
      <w:pStyle w:val="Header"/>
      <w:rPr>
        <w:rFonts w:ascii="Cambria" w:hAnsi="Cambria"/>
        <w:lang w:val="id-ID"/>
      </w:rPr>
    </w:pPr>
    <w:hyperlink r:id="rId1" w:history="1">
      <w:r w:rsidRPr="00475F4A">
        <w:rPr>
          <w:rStyle w:val="Hyperlink"/>
          <w:rFonts w:ascii="Cambria" w:hAnsi="Cambria"/>
          <w:lang w:val="id-ID"/>
        </w:rPr>
        <w:t>http://ejournal.undhari.ac.id/index.php/de_journal</w:t>
      </w:r>
    </w:hyperlink>
  </w:p>
  <w:p w14:paraId="1D7A2FF8" w14:textId="77777777" w:rsidR="00475F4A" w:rsidRPr="00475F4A" w:rsidRDefault="00475F4A" w:rsidP="00475F4A">
    <w:pPr>
      <w:pStyle w:val="Header"/>
      <w:rPr>
        <w:rFonts w:ascii="Cambria" w:hAnsi="Cambria"/>
        <w:lang w:val="it-IT"/>
      </w:rPr>
    </w:pPr>
    <w:r w:rsidRPr="00475F4A">
      <w:rPr>
        <w:rFonts w:ascii="Cambria" w:hAnsi="Cambria"/>
        <w:lang w:val="it-IT"/>
      </w:rPr>
      <w:t>E-ISSN : 2722-7839, P-ISSN : 2746-7732</w:t>
    </w:r>
  </w:p>
  <w:p w14:paraId="4C492400" w14:textId="4E40261D" w:rsidR="004A7B0C" w:rsidRPr="00475F4A" w:rsidRDefault="00475F4A" w:rsidP="00475F4A">
    <w:pPr>
      <w:pStyle w:val="Header"/>
      <w:rPr>
        <w:rFonts w:ascii="Cambria" w:hAnsi="Cambria"/>
        <w:lang w:val="id-ID"/>
      </w:rPr>
    </w:pPr>
    <w:r w:rsidRPr="00475F4A">
      <w:rPr>
        <w:rFonts w:ascii="Cambria" w:hAnsi="Cambria"/>
        <w:lang w:val="it-IT"/>
      </w:rPr>
      <w:t>Vol. 5 No. 1 June (2024), 668-672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19A1" w14:textId="624F107A" w:rsidR="004A7B0C" w:rsidRPr="00E26687" w:rsidRDefault="00F60725" w:rsidP="00753E14">
    <w:pPr>
      <w:pStyle w:val="Header"/>
      <w:rPr>
        <w:sz w:val="20"/>
        <w:lang w:val="id-ID"/>
      </w:rPr>
    </w:pPr>
    <w:bookmarkStart w:id="3" w:name="_Hlk173350812"/>
    <w:bookmarkStart w:id="4" w:name="_Hlk173350813"/>
    <w:bookmarkStart w:id="5" w:name="_Hlk173350814"/>
    <w:bookmarkStart w:id="6" w:name="_Hlk173350815"/>
    <w:bookmarkStart w:id="7" w:name="_Hlk173350816"/>
    <w:bookmarkStart w:id="8" w:name="_Hlk173350817"/>
    <w:bookmarkStart w:id="9" w:name="_Hlk173350818"/>
    <w:bookmarkStart w:id="10" w:name="_Hlk173350819"/>
    <w:proofErr w:type="spellStart"/>
    <w:r w:rsidRPr="00F60725">
      <w:rPr>
        <w:sz w:val="20"/>
        <w:lang w:val="en-US"/>
      </w:rPr>
      <w:t>Gufron</w:t>
    </w:r>
    <w:proofErr w:type="spellEnd"/>
    <w:r w:rsidRPr="00F60725">
      <w:rPr>
        <w:sz w:val="20"/>
        <w:lang w:val="en-US"/>
      </w:rPr>
      <w:t xml:space="preserve"> </w:t>
    </w:r>
    <w:proofErr w:type="spellStart"/>
    <w:r w:rsidRPr="00F60725">
      <w:rPr>
        <w:sz w:val="20"/>
        <w:lang w:val="en-US"/>
      </w:rPr>
      <w:t>Am</w:t>
    </w:r>
    <w:r>
      <w:rPr>
        <w:sz w:val="20"/>
        <w:lang w:val="en-US"/>
      </w:rPr>
      <w:t>irullah</w:t>
    </w:r>
    <w:proofErr w:type="spellEnd"/>
    <w:r>
      <w:rPr>
        <w:sz w:val="20"/>
        <w:lang w:val="en-US"/>
      </w:rPr>
      <w:t>,</w:t>
    </w:r>
    <w:r w:rsidR="007100E1">
      <w:rPr>
        <w:sz w:val="20"/>
        <w:lang w:val="en-US"/>
      </w:rPr>
      <w:t xml:space="preserve"> </w:t>
    </w:r>
    <w:r>
      <w:rPr>
        <w:sz w:val="20"/>
        <w:lang w:val="en-US"/>
      </w:rPr>
      <w:t xml:space="preserve">Sintia </w:t>
    </w:r>
    <w:proofErr w:type="spellStart"/>
    <w:r>
      <w:rPr>
        <w:sz w:val="20"/>
        <w:lang w:val="en-US"/>
      </w:rPr>
      <w:t>Pelitaningsih</w:t>
    </w:r>
    <w:proofErr w:type="spellEnd"/>
    <w:r w:rsidR="00376039" w:rsidRPr="00376039">
      <w:rPr>
        <w:sz w:val="20"/>
        <w:lang w:val="en-US"/>
      </w:rPr>
      <w:t xml:space="preserve">| </w:t>
    </w:r>
    <w:r w:rsidRPr="00F60725">
      <w:rPr>
        <w:sz w:val="20"/>
        <w:lang w:val="en-US"/>
      </w:rPr>
      <w:t>New Environmental Paradigm (</w:t>
    </w:r>
    <w:r w:rsidR="007100E1" w:rsidRPr="00F60725">
      <w:rPr>
        <w:sz w:val="20"/>
        <w:lang w:val="en-US"/>
      </w:rPr>
      <w:t>NEP</w:t>
    </w:r>
    <w:r w:rsidRPr="00F60725">
      <w:rPr>
        <w:sz w:val="20"/>
        <w:lang w:val="en-US"/>
      </w:rPr>
      <w:t xml:space="preserve">) </w:t>
    </w:r>
    <w:r w:rsidR="007C0747">
      <w:rPr>
        <w:sz w:val="20"/>
        <w:lang w:val="en-US"/>
      </w:rPr>
      <w:t>d</w:t>
    </w:r>
    <w:r w:rsidRPr="00F60725">
      <w:rPr>
        <w:sz w:val="20"/>
        <w:lang w:val="en-US"/>
      </w:rPr>
      <w:t xml:space="preserve">an </w:t>
    </w:r>
    <w:proofErr w:type="spellStart"/>
    <w:r w:rsidRPr="00F60725">
      <w:rPr>
        <w:sz w:val="20"/>
        <w:lang w:val="en-US"/>
      </w:rPr>
      <w:t>Perilaku</w:t>
    </w:r>
    <w:proofErr w:type="spellEnd"/>
    <w:r w:rsidRPr="00F60725">
      <w:rPr>
        <w:sz w:val="20"/>
        <w:lang w:val="en-US"/>
      </w:rPr>
      <w:t xml:space="preserve"> Pro-Lingkungan </w:t>
    </w:r>
    <w:proofErr w:type="spellStart"/>
    <w:r w:rsidRPr="00F60725">
      <w:rPr>
        <w:sz w:val="20"/>
        <w:lang w:val="en-US"/>
      </w:rPr>
      <w:t>Pencapaian</w:t>
    </w:r>
    <w:proofErr w:type="spellEnd"/>
    <w:r w:rsidRPr="00F60725">
      <w:rPr>
        <w:sz w:val="20"/>
        <w:lang w:val="en-US"/>
      </w:rPr>
      <w:t xml:space="preserve"> Tujuan Ke 13 Sustainable Development Goals (</w:t>
    </w:r>
    <w:r w:rsidR="007C0747" w:rsidRPr="00F60725">
      <w:rPr>
        <w:sz w:val="20"/>
        <w:lang w:val="en-US"/>
      </w:rPr>
      <w:t>SDG</w:t>
    </w:r>
    <w:r w:rsidR="007C0747">
      <w:rPr>
        <w:sz w:val="20"/>
        <w:lang w:val="en-US"/>
      </w:rPr>
      <w:t>s</w:t>
    </w:r>
    <w:r w:rsidRPr="00F60725">
      <w:rPr>
        <w:sz w:val="20"/>
        <w:lang w:val="en-US"/>
      </w:rPr>
      <w:t>)</w:t>
    </w:r>
    <w:bookmarkEnd w:id="3"/>
    <w:bookmarkEnd w:id="4"/>
    <w:bookmarkEnd w:id="5"/>
    <w:bookmarkEnd w:id="6"/>
    <w:bookmarkEnd w:id="7"/>
    <w:bookmarkEnd w:id="8"/>
    <w:bookmarkEnd w:id="9"/>
    <w:bookmarkEnd w:id="1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DD815" w14:textId="161BE5EC" w:rsidR="004A7B0C" w:rsidRPr="007C0747" w:rsidRDefault="007C0747" w:rsidP="007C0747">
    <w:pPr>
      <w:pStyle w:val="Header"/>
      <w:rPr>
        <w:sz w:val="20"/>
        <w:lang w:val="id-ID"/>
      </w:rPr>
    </w:pPr>
    <w:proofErr w:type="spellStart"/>
    <w:r w:rsidRPr="00F60725">
      <w:rPr>
        <w:sz w:val="20"/>
        <w:lang w:val="en-US"/>
      </w:rPr>
      <w:t>Gufron</w:t>
    </w:r>
    <w:proofErr w:type="spellEnd"/>
    <w:r w:rsidRPr="00F60725">
      <w:rPr>
        <w:sz w:val="20"/>
        <w:lang w:val="en-US"/>
      </w:rPr>
      <w:t xml:space="preserve"> </w:t>
    </w:r>
    <w:proofErr w:type="spellStart"/>
    <w:r w:rsidRPr="00F60725">
      <w:rPr>
        <w:sz w:val="20"/>
        <w:lang w:val="en-US"/>
      </w:rPr>
      <w:t>Am</w:t>
    </w:r>
    <w:r>
      <w:rPr>
        <w:sz w:val="20"/>
        <w:lang w:val="en-US"/>
      </w:rPr>
      <w:t>irullah</w:t>
    </w:r>
    <w:proofErr w:type="spellEnd"/>
    <w:r>
      <w:rPr>
        <w:sz w:val="20"/>
        <w:lang w:val="en-US"/>
      </w:rPr>
      <w:t xml:space="preserve">, Sintia </w:t>
    </w:r>
    <w:proofErr w:type="spellStart"/>
    <w:r>
      <w:rPr>
        <w:sz w:val="20"/>
        <w:lang w:val="en-US"/>
      </w:rPr>
      <w:t>Pelitaningsih</w:t>
    </w:r>
    <w:proofErr w:type="spellEnd"/>
    <w:r w:rsidRPr="00376039">
      <w:rPr>
        <w:sz w:val="20"/>
        <w:lang w:val="en-US"/>
      </w:rPr>
      <w:t xml:space="preserve">| </w:t>
    </w:r>
    <w:r w:rsidRPr="00F60725">
      <w:rPr>
        <w:sz w:val="20"/>
        <w:lang w:val="en-US"/>
      </w:rPr>
      <w:t xml:space="preserve">New Environmental Paradigm (NEP) </w:t>
    </w:r>
    <w:r>
      <w:rPr>
        <w:sz w:val="20"/>
        <w:lang w:val="en-US"/>
      </w:rPr>
      <w:t>d</w:t>
    </w:r>
    <w:r w:rsidRPr="00F60725">
      <w:rPr>
        <w:sz w:val="20"/>
        <w:lang w:val="en-US"/>
      </w:rPr>
      <w:t xml:space="preserve">an </w:t>
    </w:r>
    <w:proofErr w:type="spellStart"/>
    <w:r w:rsidRPr="00F60725">
      <w:rPr>
        <w:sz w:val="20"/>
        <w:lang w:val="en-US"/>
      </w:rPr>
      <w:t>Perilaku</w:t>
    </w:r>
    <w:proofErr w:type="spellEnd"/>
    <w:r w:rsidRPr="00F60725">
      <w:rPr>
        <w:sz w:val="20"/>
        <w:lang w:val="en-US"/>
      </w:rPr>
      <w:t xml:space="preserve"> Pro-Lingkungan </w:t>
    </w:r>
    <w:proofErr w:type="spellStart"/>
    <w:r w:rsidRPr="00F60725">
      <w:rPr>
        <w:sz w:val="20"/>
        <w:lang w:val="en-US"/>
      </w:rPr>
      <w:t>Pencapaian</w:t>
    </w:r>
    <w:proofErr w:type="spellEnd"/>
    <w:r w:rsidRPr="00F60725">
      <w:rPr>
        <w:sz w:val="20"/>
        <w:lang w:val="en-US"/>
      </w:rPr>
      <w:t xml:space="preserve"> Tujuan Ke 13 Sustainable Development Goals (SDG</w:t>
    </w:r>
    <w:r>
      <w:rPr>
        <w:sz w:val="20"/>
        <w:lang w:val="en-US"/>
      </w:rPr>
      <w:t>s</w:t>
    </w:r>
    <w:r w:rsidRPr="00F60725">
      <w:rPr>
        <w:sz w:val="2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3E3F"/>
    <w:multiLevelType w:val="multilevel"/>
    <w:tmpl w:val="8BB06C10"/>
    <w:lvl w:ilvl="0">
      <w:start w:val="4"/>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121B4E35"/>
    <w:multiLevelType w:val="multilevel"/>
    <w:tmpl w:val="94D8AC0E"/>
    <w:lvl w:ilvl="0">
      <w:start w:val="1"/>
      <w:numFmt w:val="decimal"/>
      <w:lvlText w:val="4.%1"/>
      <w:lvlJc w:val="left"/>
      <w:pPr>
        <w:ind w:left="720" w:hanging="360"/>
      </w:pPr>
      <w:rPr>
        <w:rFonts w:hint="default"/>
        <w:b/>
        <w:bCs/>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5D7AE6"/>
    <w:multiLevelType w:val="hybridMultilevel"/>
    <w:tmpl w:val="D37266A4"/>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F8F7797"/>
    <w:multiLevelType w:val="hybridMultilevel"/>
    <w:tmpl w:val="D188E2E8"/>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27B15CA5"/>
    <w:multiLevelType w:val="hybridMultilevel"/>
    <w:tmpl w:val="161A2F48"/>
    <w:lvl w:ilvl="0" w:tplc="2B8611C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723F8A"/>
    <w:multiLevelType w:val="multilevel"/>
    <w:tmpl w:val="EC4E1CD2"/>
    <w:lvl w:ilvl="0">
      <w:start w:val="4"/>
      <w:numFmt w:val="decimal"/>
      <w:lvlText w:val="%1"/>
      <w:lvlJc w:val="left"/>
      <w:pPr>
        <w:ind w:left="480" w:hanging="480"/>
      </w:pPr>
      <w:rPr>
        <w:rFonts w:hint="default"/>
        <w:i w:val="0"/>
      </w:rPr>
    </w:lvl>
    <w:lvl w:ilvl="1">
      <w:start w:val="1"/>
      <w:numFmt w:val="lowerLetter"/>
      <w:lvlText w:val="%2."/>
      <w:lvlJc w:val="left"/>
      <w:pPr>
        <w:ind w:left="720" w:hanging="360"/>
      </w:pPr>
      <w:rPr>
        <w:rFonts w:hint="default"/>
      </w:rPr>
    </w:lvl>
    <w:lvl w:ilvl="2">
      <w:start w:val="4"/>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402A5BF2"/>
    <w:multiLevelType w:val="hybridMultilevel"/>
    <w:tmpl w:val="D37266A4"/>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42493B80"/>
    <w:multiLevelType w:val="multilevel"/>
    <w:tmpl w:val="28687084"/>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b/>
      </w:rPr>
    </w:lvl>
    <w:lvl w:ilvl="3">
      <w:start w:val="1"/>
      <w:numFmt w:val="decimal"/>
      <w:isLgl/>
      <w:lvlText w:val="%1.%2.%3.%4."/>
      <w:lvlJc w:val="left"/>
      <w:pPr>
        <w:ind w:left="2138" w:hanging="720"/>
      </w:pPr>
      <w:rPr>
        <w:rFonts w:hint="default"/>
        <w:b/>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9" w15:restartNumberingAfterBreak="0">
    <w:nsid w:val="5BAA4473"/>
    <w:multiLevelType w:val="hybridMultilevel"/>
    <w:tmpl w:val="F47E053A"/>
    <w:lvl w:ilvl="0" w:tplc="50645AE2">
      <w:start w:val="1"/>
      <w:numFmt w:val="decimal"/>
      <w:lvlText w:val="%1."/>
      <w:lvlJc w:val="left"/>
      <w:pPr>
        <w:ind w:left="2720" w:hanging="735"/>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0" w15:restartNumberingAfterBreak="0">
    <w:nsid w:val="739E4AB3"/>
    <w:multiLevelType w:val="hybridMultilevel"/>
    <w:tmpl w:val="96C0DD40"/>
    <w:lvl w:ilvl="0" w:tplc="259E62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34107"/>
    <w:multiLevelType w:val="hybridMultilevel"/>
    <w:tmpl w:val="C5C0F2D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7B45667A"/>
    <w:multiLevelType w:val="hybridMultilevel"/>
    <w:tmpl w:val="4A3C76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70585437">
    <w:abstractNumId w:val="2"/>
  </w:num>
  <w:num w:numId="2" w16cid:durableId="1207595973">
    <w:abstractNumId w:val="8"/>
  </w:num>
  <w:num w:numId="3" w16cid:durableId="923031802">
    <w:abstractNumId w:val="11"/>
  </w:num>
  <w:num w:numId="4" w16cid:durableId="274094184">
    <w:abstractNumId w:val="9"/>
  </w:num>
  <w:num w:numId="5" w16cid:durableId="1411849220">
    <w:abstractNumId w:val="1"/>
  </w:num>
  <w:num w:numId="6" w16cid:durableId="245115834">
    <w:abstractNumId w:val="0"/>
  </w:num>
  <w:num w:numId="7" w16cid:durableId="1605306249">
    <w:abstractNumId w:val="6"/>
  </w:num>
  <w:num w:numId="8" w16cid:durableId="262226512">
    <w:abstractNumId w:val="12"/>
  </w:num>
  <w:num w:numId="9" w16cid:durableId="2144928356">
    <w:abstractNumId w:val="4"/>
  </w:num>
  <w:num w:numId="10" w16cid:durableId="2145347477">
    <w:abstractNumId w:val="3"/>
  </w:num>
  <w:num w:numId="11" w16cid:durableId="192619163">
    <w:abstractNumId w:val="10"/>
  </w:num>
  <w:num w:numId="12" w16cid:durableId="1684279868">
    <w:abstractNumId w:val="7"/>
  </w:num>
  <w:num w:numId="13" w16cid:durableId="104197775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isplayBackgroundShape/>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25"/>
    <w:rsid w:val="00036FF5"/>
    <w:rsid w:val="00055720"/>
    <w:rsid w:val="00094DE5"/>
    <w:rsid w:val="000C584E"/>
    <w:rsid w:val="000D1C9E"/>
    <w:rsid w:val="00113A14"/>
    <w:rsid w:val="001160EB"/>
    <w:rsid w:val="0012129E"/>
    <w:rsid w:val="00121D08"/>
    <w:rsid w:val="0014643B"/>
    <w:rsid w:val="00156ADF"/>
    <w:rsid w:val="00160666"/>
    <w:rsid w:val="001609FF"/>
    <w:rsid w:val="00165CDF"/>
    <w:rsid w:val="00173E7F"/>
    <w:rsid w:val="00175458"/>
    <w:rsid w:val="001A0418"/>
    <w:rsid w:val="001B23F9"/>
    <w:rsid w:val="001B71E5"/>
    <w:rsid w:val="001C2C25"/>
    <w:rsid w:val="001C3105"/>
    <w:rsid w:val="001D0088"/>
    <w:rsid w:val="001D2D66"/>
    <w:rsid w:val="00220A1C"/>
    <w:rsid w:val="0022435C"/>
    <w:rsid w:val="00262441"/>
    <w:rsid w:val="002728D1"/>
    <w:rsid w:val="002D13F0"/>
    <w:rsid w:val="002E1238"/>
    <w:rsid w:val="002E78F5"/>
    <w:rsid w:val="003024BF"/>
    <w:rsid w:val="0032632A"/>
    <w:rsid w:val="00353879"/>
    <w:rsid w:val="00353A0B"/>
    <w:rsid w:val="00376039"/>
    <w:rsid w:val="00382D6E"/>
    <w:rsid w:val="003D630C"/>
    <w:rsid w:val="004040F0"/>
    <w:rsid w:val="004063EC"/>
    <w:rsid w:val="00434770"/>
    <w:rsid w:val="004419F4"/>
    <w:rsid w:val="00442BF7"/>
    <w:rsid w:val="004670A5"/>
    <w:rsid w:val="00475F4A"/>
    <w:rsid w:val="004835E3"/>
    <w:rsid w:val="00491D9F"/>
    <w:rsid w:val="004A7B0C"/>
    <w:rsid w:val="004D26CF"/>
    <w:rsid w:val="004F7F55"/>
    <w:rsid w:val="00500720"/>
    <w:rsid w:val="0051414B"/>
    <w:rsid w:val="00541F78"/>
    <w:rsid w:val="00553F29"/>
    <w:rsid w:val="005664D1"/>
    <w:rsid w:val="00573CFE"/>
    <w:rsid w:val="00576BA8"/>
    <w:rsid w:val="005F451C"/>
    <w:rsid w:val="005F6692"/>
    <w:rsid w:val="0060106F"/>
    <w:rsid w:val="006013DA"/>
    <w:rsid w:val="00614BEA"/>
    <w:rsid w:val="0061511E"/>
    <w:rsid w:val="006224B8"/>
    <w:rsid w:val="006647A7"/>
    <w:rsid w:val="00676CF8"/>
    <w:rsid w:val="006914C7"/>
    <w:rsid w:val="006B0789"/>
    <w:rsid w:val="006E3364"/>
    <w:rsid w:val="007100E1"/>
    <w:rsid w:val="007159C1"/>
    <w:rsid w:val="00752534"/>
    <w:rsid w:val="00753E14"/>
    <w:rsid w:val="00776F95"/>
    <w:rsid w:val="007A4F92"/>
    <w:rsid w:val="007B08B3"/>
    <w:rsid w:val="007B2F36"/>
    <w:rsid w:val="007B7D4E"/>
    <w:rsid w:val="007C03C1"/>
    <w:rsid w:val="007C073B"/>
    <w:rsid w:val="007C0747"/>
    <w:rsid w:val="007E24A5"/>
    <w:rsid w:val="007E4105"/>
    <w:rsid w:val="00801603"/>
    <w:rsid w:val="00812C84"/>
    <w:rsid w:val="0083708F"/>
    <w:rsid w:val="0085755D"/>
    <w:rsid w:val="008D0B29"/>
    <w:rsid w:val="00976FC2"/>
    <w:rsid w:val="009A62F8"/>
    <w:rsid w:val="009D6E07"/>
    <w:rsid w:val="00A04177"/>
    <w:rsid w:val="00A352BB"/>
    <w:rsid w:val="00A43D6B"/>
    <w:rsid w:val="00A52D47"/>
    <w:rsid w:val="00A7215D"/>
    <w:rsid w:val="00AD14F0"/>
    <w:rsid w:val="00AD16C8"/>
    <w:rsid w:val="00AF18E9"/>
    <w:rsid w:val="00B30BFE"/>
    <w:rsid w:val="00B32E71"/>
    <w:rsid w:val="00B51395"/>
    <w:rsid w:val="00B77891"/>
    <w:rsid w:val="00BA4A27"/>
    <w:rsid w:val="00BB149C"/>
    <w:rsid w:val="00BB2637"/>
    <w:rsid w:val="00BF55AA"/>
    <w:rsid w:val="00C20A7E"/>
    <w:rsid w:val="00C95A5D"/>
    <w:rsid w:val="00C9754C"/>
    <w:rsid w:val="00CB79A9"/>
    <w:rsid w:val="00CC24AC"/>
    <w:rsid w:val="00D37A48"/>
    <w:rsid w:val="00D42F10"/>
    <w:rsid w:val="00D726EA"/>
    <w:rsid w:val="00DC0240"/>
    <w:rsid w:val="00DE2209"/>
    <w:rsid w:val="00E15AF9"/>
    <w:rsid w:val="00E254D2"/>
    <w:rsid w:val="00E263A2"/>
    <w:rsid w:val="00E26687"/>
    <w:rsid w:val="00E41DD9"/>
    <w:rsid w:val="00E47875"/>
    <w:rsid w:val="00E561BE"/>
    <w:rsid w:val="00E77B2F"/>
    <w:rsid w:val="00E82381"/>
    <w:rsid w:val="00E8338F"/>
    <w:rsid w:val="00EB451D"/>
    <w:rsid w:val="00EE388F"/>
    <w:rsid w:val="00EF5C2C"/>
    <w:rsid w:val="00F0788E"/>
    <w:rsid w:val="00F22AD0"/>
    <w:rsid w:val="00F27F9A"/>
    <w:rsid w:val="00F30F8F"/>
    <w:rsid w:val="00F44643"/>
    <w:rsid w:val="00F60725"/>
    <w:rsid w:val="00FB717F"/>
    <w:rsid w:val="00FC1F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DC1A"/>
  <w15:chartTrackingRefBased/>
  <w15:docId w15:val="{0BBBFCA8-36D9-4542-88A3-029063EC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P_Abstract_Body"/>
    <w:qFormat/>
    <w:rsid w:val="001C2C25"/>
    <w:pPr>
      <w:spacing w:after="0" w:line="240" w:lineRule="auto"/>
      <w:contextualSpacing/>
      <w:jc w:val="both"/>
    </w:pPr>
    <w:rPr>
      <w:rFonts w:ascii="Times New Roman" w:eastAsia="Calibri" w:hAnsi="Times New Roman" w:cs="Times New Roman"/>
      <w:sz w:val="24"/>
      <w:lang w:val="en-GB"/>
    </w:rPr>
  </w:style>
  <w:style w:type="paragraph" w:styleId="Heading1">
    <w:name w:val="heading 1"/>
    <w:basedOn w:val="Normal"/>
    <w:link w:val="Heading1Char"/>
    <w:uiPriority w:val="1"/>
    <w:qFormat/>
    <w:rsid w:val="00BA4A27"/>
    <w:pPr>
      <w:widowControl w:val="0"/>
      <w:autoSpaceDE w:val="0"/>
      <w:autoSpaceDN w:val="0"/>
      <w:ind w:left="1284"/>
      <w:contextualSpacing w:val="0"/>
      <w:jc w:val="left"/>
      <w:outlineLvl w:val="0"/>
    </w:pPr>
    <w:rPr>
      <w:rFonts w:eastAsia="Times New Roman"/>
      <w:b/>
      <w:bCs/>
      <w:szCs w:val="24"/>
      <w:lang w:val="en-US"/>
    </w:rPr>
  </w:style>
  <w:style w:type="paragraph" w:styleId="Heading2">
    <w:name w:val="heading 2"/>
    <w:basedOn w:val="Normal"/>
    <w:next w:val="Normal"/>
    <w:link w:val="Heading2Char"/>
    <w:uiPriority w:val="9"/>
    <w:semiHidden/>
    <w:unhideWhenUsed/>
    <w:qFormat/>
    <w:rsid w:val="00BA4A27"/>
    <w:pPr>
      <w:keepNext/>
      <w:keepLines/>
      <w:spacing w:before="40"/>
      <w:contextualSpacing w:val="0"/>
      <w:jc w:val="left"/>
      <w:outlineLvl w:val="1"/>
    </w:pPr>
    <w:rPr>
      <w:rFonts w:asciiTheme="majorHAnsi" w:eastAsiaTheme="majorEastAsia" w:hAnsiTheme="majorHAnsi" w:cstheme="majorBidi"/>
      <w:color w:val="2E74B5" w:themeColor="accent1" w:themeShade="BF"/>
      <w:sz w:val="26"/>
      <w:szCs w:val="26"/>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25"/>
    <w:pPr>
      <w:tabs>
        <w:tab w:val="center" w:pos="4513"/>
        <w:tab w:val="right" w:pos="9026"/>
      </w:tabs>
    </w:pPr>
    <w:rPr>
      <w:szCs w:val="20"/>
      <w:lang w:eastAsia="x-none"/>
    </w:rPr>
  </w:style>
  <w:style w:type="character" w:customStyle="1" w:styleId="HeaderChar">
    <w:name w:val="Header Char"/>
    <w:basedOn w:val="DefaultParagraphFont"/>
    <w:link w:val="Header"/>
    <w:uiPriority w:val="99"/>
    <w:rsid w:val="001C2C25"/>
    <w:rPr>
      <w:rFonts w:ascii="Times New Roman" w:eastAsia="Calibri" w:hAnsi="Times New Roman" w:cs="Times New Roman"/>
      <w:sz w:val="24"/>
      <w:szCs w:val="20"/>
      <w:lang w:val="en-GB" w:eastAsia="x-none"/>
    </w:rPr>
  </w:style>
  <w:style w:type="paragraph" w:customStyle="1" w:styleId="CPTABLE">
    <w:name w:val="CP_TABLE"/>
    <w:basedOn w:val="Normal"/>
    <w:qFormat/>
    <w:rsid w:val="001C2C25"/>
    <w:pPr>
      <w:numPr>
        <w:numId w:val="1"/>
      </w:numPr>
      <w:spacing w:before="240" w:after="120"/>
      <w:ind w:left="850" w:hanging="493"/>
      <w:jc w:val="center"/>
    </w:pPr>
    <w:rPr>
      <w:rFonts w:cs="Calibri"/>
      <w:szCs w:val="24"/>
      <w:lang w:val="en-US"/>
    </w:rPr>
  </w:style>
  <w:style w:type="character" w:styleId="Hyperlink">
    <w:name w:val="Hyperlink"/>
    <w:uiPriority w:val="99"/>
    <w:unhideWhenUsed/>
    <w:rsid w:val="001C2C25"/>
    <w:rPr>
      <w:color w:val="0000FF"/>
      <w:u w:val="single"/>
    </w:rPr>
  </w:style>
  <w:style w:type="paragraph" w:customStyle="1" w:styleId="CPAuthor">
    <w:name w:val="CP_Author"/>
    <w:basedOn w:val="Normal"/>
    <w:link w:val="CPAuthorChar"/>
    <w:qFormat/>
    <w:rsid w:val="001C2C25"/>
    <w:pPr>
      <w:widowControl w:val="0"/>
      <w:autoSpaceDE w:val="0"/>
      <w:autoSpaceDN w:val="0"/>
      <w:adjustRightInd w:val="0"/>
      <w:spacing w:line="239" w:lineRule="auto"/>
      <w:ind w:right="49"/>
      <w:jc w:val="center"/>
    </w:pPr>
    <w:rPr>
      <w:b/>
      <w:bCs/>
      <w:spacing w:val="2"/>
      <w:szCs w:val="20"/>
      <w:lang w:eastAsia="x-none"/>
    </w:rPr>
  </w:style>
  <w:style w:type="paragraph" w:customStyle="1" w:styleId="CPTitle">
    <w:name w:val="CP_Title"/>
    <w:basedOn w:val="Normal"/>
    <w:link w:val="CPTitleChar"/>
    <w:qFormat/>
    <w:rsid w:val="001C2C25"/>
    <w:pPr>
      <w:widowControl w:val="0"/>
      <w:autoSpaceDE w:val="0"/>
      <w:autoSpaceDN w:val="0"/>
      <w:adjustRightInd w:val="0"/>
      <w:jc w:val="center"/>
    </w:pPr>
    <w:rPr>
      <w:b/>
      <w:bCs/>
      <w:spacing w:val="-5"/>
      <w:szCs w:val="20"/>
      <w:lang w:eastAsia="x-none"/>
    </w:rPr>
  </w:style>
  <w:style w:type="character" w:customStyle="1" w:styleId="CPAuthorChar">
    <w:name w:val="CP_Author Char"/>
    <w:link w:val="CPAuthor"/>
    <w:rsid w:val="001C2C25"/>
    <w:rPr>
      <w:rFonts w:ascii="Times New Roman" w:eastAsia="Calibri" w:hAnsi="Times New Roman" w:cs="Times New Roman"/>
      <w:b/>
      <w:bCs/>
      <w:spacing w:val="2"/>
      <w:sz w:val="24"/>
      <w:szCs w:val="20"/>
      <w:lang w:val="en-GB" w:eastAsia="x-none"/>
    </w:rPr>
  </w:style>
  <w:style w:type="character" w:customStyle="1" w:styleId="CPTitleChar">
    <w:name w:val="CP_Title Char"/>
    <w:link w:val="CPTitle"/>
    <w:rsid w:val="001C2C25"/>
    <w:rPr>
      <w:rFonts w:ascii="Times New Roman" w:eastAsia="Calibri" w:hAnsi="Times New Roman" w:cs="Times New Roman"/>
      <w:b/>
      <w:bCs/>
      <w:spacing w:val="-5"/>
      <w:sz w:val="24"/>
      <w:szCs w:val="20"/>
      <w:lang w:val="en-GB" w:eastAsia="x-none"/>
    </w:rPr>
  </w:style>
  <w:style w:type="paragraph" w:customStyle="1" w:styleId="EndNoteBibliography">
    <w:name w:val="EndNote Bibliography"/>
    <w:basedOn w:val="Normal"/>
    <w:link w:val="EndNoteBibliographyChar"/>
    <w:rsid w:val="001C2C25"/>
    <w:rPr>
      <w:noProof/>
      <w:szCs w:val="20"/>
      <w:lang w:val="en-US" w:eastAsia="x-none"/>
    </w:rPr>
  </w:style>
  <w:style w:type="character" w:customStyle="1" w:styleId="EndNoteBibliographyChar">
    <w:name w:val="EndNote Bibliography Char"/>
    <w:link w:val="EndNoteBibliography"/>
    <w:rsid w:val="001C2C25"/>
    <w:rPr>
      <w:rFonts w:ascii="Times New Roman" w:eastAsia="Calibri" w:hAnsi="Times New Roman" w:cs="Times New Roman"/>
      <w:noProof/>
      <w:sz w:val="24"/>
      <w:szCs w:val="20"/>
      <w:lang w:val="en-US" w:eastAsia="x-none"/>
    </w:rPr>
  </w:style>
  <w:style w:type="paragraph" w:styleId="ListParagraph">
    <w:name w:val="List Paragraph"/>
    <w:aliases w:val="Body of text,List Paragraph1,Body of text+1,Body of text+2,Body of text+3,List Paragraph11,Medium Grid 1 - Accent 21,Sub sub,Colorful List - Accent 11,HEADING 1,Body of textCxSp,soal jawab,rpp3,pesisir 1,anak bab,1List N,Header Char1"/>
    <w:basedOn w:val="Normal"/>
    <w:link w:val="ListParagraphChar"/>
    <w:uiPriority w:val="1"/>
    <w:qFormat/>
    <w:rsid w:val="001C2C25"/>
    <w:pPr>
      <w:ind w:left="720"/>
    </w:pPr>
  </w:style>
  <w:style w:type="table" w:styleId="TableGrid">
    <w:name w:val="Table Grid"/>
    <w:aliases w:val="Tabel"/>
    <w:basedOn w:val="TableNormal"/>
    <w:uiPriority w:val="59"/>
    <w:qFormat/>
    <w:rsid w:val="001C2C25"/>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2C25"/>
    <w:pPr>
      <w:tabs>
        <w:tab w:val="center" w:pos="4513"/>
        <w:tab w:val="right" w:pos="9026"/>
      </w:tabs>
    </w:pPr>
  </w:style>
  <w:style w:type="character" w:customStyle="1" w:styleId="FooterChar">
    <w:name w:val="Footer Char"/>
    <w:basedOn w:val="DefaultParagraphFont"/>
    <w:link w:val="Footer"/>
    <w:uiPriority w:val="99"/>
    <w:rsid w:val="001C2C25"/>
    <w:rPr>
      <w:rFonts w:ascii="Times New Roman" w:eastAsia="Calibri" w:hAnsi="Times New Roman" w:cs="Times New Roman"/>
      <w:sz w:val="24"/>
      <w:lang w:val="en-GB"/>
    </w:rPr>
  </w:style>
  <w:style w:type="paragraph" w:customStyle="1" w:styleId="BasicParagraph">
    <w:name w:val="[Basic Paragraph]"/>
    <w:basedOn w:val="Normal"/>
    <w:uiPriority w:val="99"/>
    <w:rsid w:val="0032632A"/>
    <w:pPr>
      <w:autoSpaceDE w:val="0"/>
      <w:autoSpaceDN w:val="0"/>
      <w:adjustRightInd w:val="0"/>
      <w:spacing w:line="288" w:lineRule="auto"/>
      <w:contextualSpacing w:val="0"/>
      <w:jc w:val="left"/>
      <w:textAlignment w:val="center"/>
    </w:pPr>
    <w:rPr>
      <w:rFonts w:ascii="Calisto MT" w:eastAsiaTheme="minorHAnsi" w:hAnsi="Calisto MT" w:cs="Calisto MT"/>
      <w:color w:val="000000"/>
      <w:sz w:val="20"/>
      <w:szCs w:val="20"/>
    </w:rPr>
  </w:style>
  <w:style w:type="paragraph" w:customStyle="1" w:styleId="AbstakIndo">
    <w:name w:val="Abstak Indo"/>
    <w:basedOn w:val="Normal"/>
    <w:uiPriority w:val="99"/>
    <w:rsid w:val="0032632A"/>
    <w:pPr>
      <w:autoSpaceDE w:val="0"/>
      <w:autoSpaceDN w:val="0"/>
      <w:adjustRightInd w:val="0"/>
      <w:spacing w:line="288" w:lineRule="auto"/>
      <w:contextualSpacing w:val="0"/>
      <w:textAlignment w:val="center"/>
    </w:pPr>
    <w:rPr>
      <w:rFonts w:ascii="Minion Pro" w:eastAsiaTheme="minorHAnsi" w:hAnsi="Minion Pro" w:cs="Minion Pro"/>
      <w:color w:val="000000"/>
      <w:sz w:val="20"/>
      <w:szCs w:val="20"/>
    </w:rPr>
  </w:style>
  <w:style w:type="paragraph" w:styleId="NoSpacing">
    <w:name w:val="No Spacing"/>
    <w:aliases w:val="1 INDO"/>
    <w:basedOn w:val="Normal"/>
    <w:uiPriority w:val="1"/>
    <w:qFormat/>
    <w:rsid w:val="0032632A"/>
    <w:pPr>
      <w:autoSpaceDE w:val="0"/>
      <w:autoSpaceDN w:val="0"/>
      <w:adjustRightInd w:val="0"/>
      <w:spacing w:line="288" w:lineRule="auto"/>
      <w:contextualSpacing w:val="0"/>
      <w:textAlignment w:val="center"/>
    </w:pPr>
    <w:rPr>
      <w:rFonts w:ascii="Calisto MT" w:eastAsiaTheme="minorHAnsi" w:hAnsi="Calisto MT" w:cs="Calisto MT"/>
      <w:bCs/>
      <w:iCs/>
      <w:color w:val="000000"/>
      <w:sz w:val="16"/>
      <w:szCs w:val="16"/>
      <w:lang w:val="id-ID"/>
    </w:rPr>
  </w:style>
  <w:style w:type="table" w:customStyle="1" w:styleId="TableGrid1">
    <w:name w:val="Table Grid1"/>
    <w:basedOn w:val="TableNormal"/>
    <w:next w:val="TableGrid"/>
    <w:uiPriority w:val="39"/>
    <w:rsid w:val="000C58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58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0C58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42B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42B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2B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Medium Grid 1 - Accent 21 Char,Sub sub Char,Colorful List - Accent 11 Char,HEADING 1 Char,Body of textCxSp Char"/>
    <w:link w:val="ListParagraph"/>
    <w:uiPriority w:val="34"/>
    <w:qFormat/>
    <w:locked/>
    <w:rsid w:val="00F22AD0"/>
    <w:rPr>
      <w:rFonts w:ascii="Times New Roman" w:eastAsia="Calibri" w:hAnsi="Times New Roman" w:cs="Times New Roman"/>
      <w:sz w:val="24"/>
      <w:lang w:val="en-GB"/>
    </w:rPr>
  </w:style>
  <w:style w:type="table" w:styleId="PlainTable2">
    <w:name w:val="Plain Table 2"/>
    <w:basedOn w:val="TableNormal"/>
    <w:uiPriority w:val="42"/>
    <w:rsid w:val="00EF5C2C"/>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EF5C2C"/>
    <w:pPr>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EF5C2C"/>
    <w:pPr>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dnoteText">
    <w:name w:val="endnote text"/>
    <w:basedOn w:val="Normal"/>
    <w:link w:val="EndnoteTextChar"/>
    <w:uiPriority w:val="99"/>
    <w:semiHidden/>
    <w:unhideWhenUsed/>
    <w:rsid w:val="00F44643"/>
    <w:rPr>
      <w:sz w:val="20"/>
      <w:szCs w:val="20"/>
    </w:rPr>
  </w:style>
  <w:style w:type="character" w:customStyle="1" w:styleId="EndnoteTextChar">
    <w:name w:val="Endnote Text Char"/>
    <w:basedOn w:val="DefaultParagraphFont"/>
    <w:link w:val="EndnoteText"/>
    <w:uiPriority w:val="99"/>
    <w:semiHidden/>
    <w:rsid w:val="00F44643"/>
    <w:rPr>
      <w:rFonts w:ascii="Times New Roman" w:eastAsia="Calibri" w:hAnsi="Times New Roman" w:cs="Times New Roman"/>
      <w:sz w:val="20"/>
      <w:szCs w:val="20"/>
      <w:lang w:val="en-GB"/>
    </w:rPr>
  </w:style>
  <w:style w:type="character" w:styleId="EndnoteReference">
    <w:name w:val="endnote reference"/>
    <w:basedOn w:val="DefaultParagraphFont"/>
    <w:uiPriority w:val="99"/>
    <w:semiHidden/>
    <w:unhideWhenUsed/>
    <w:rsid w:val="00F44643"/>
    <w:rPr>
      <w:vertAlign w:val="superscript"/>
    </w:rPr>
  </w:style>
  <w:style w:type="character" w:customStyle="1" w:styleId="markedcontent">
    <w:name w:val="markedcontent"/>
    <w:basedOn w:val="DefaultParagraphFont"/>
    <w:rsid w:val="00B32E71"/>
  </w:style>
  <w:style w:type="table" w:customStyle="1" w:styleId="TableGrid11">
    <w:name w:val="Table Grid11"/>
    <w:basedOn w:val="TableNormal"/>
    <w:next w:val="TableGrid"/>
    <w:uiPriority w:val="5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B23F9"/>
    <w:pPr>
      <w:spacing w:after="0" w:line="240" w:lineRule="auto"/>
    </w:pPr>
    <w:rPr>
      <w:rFonts w:eastAsia="DengXi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4">
    <w:name w:val="Table Grid24"/>
    <w:basedOn w:val="TableNormal"/>
    <w:next w:val="TableGrid"/>
    <w:uiPriority w:val="59"/>
    <w:rsid w:val="006224B8"/>
    <w:pPr>
      <w:spacing w:after="0" w:line="240" w:lineRule="auto"/>
      <w:ind w:left="568" w:hanging="284"/>
      <w:jc w:val="both"/>
    </w:pPr>
    <w:rPr>
      <w:rFonts w:ascii="Calibri" w:eastAsia="Times New Roman" w:hAnsi="Calibri" w:cs="Arial"/>
      <w:lang w:val="en-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1"/>
    <w:rsid w:val="00BA4A27"/>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BA4A27"/>
    <w:rPr>
      <w:rFonts w:asciiTheme="majorHAnsi" w:eastAsiaTheme="majorEastAsia" w:hAnsiTheme="majorHAnsi" w:cstheme="majorBidi"/>
      <w:color w:val="2E74B5" w:themeColor="accent1" w:themeShade="BF"/>
      <w:sz w:val="26"/>
      <w:szCs w:val="26"/>
      <w:lang w:val="en-ID" w:eastAsia="en-ID"/>
    </w:rPr>
  </w:style>
  <w:style w:type="paragraph" w:styleId="BalloonText">
    <w:name w:val="Balloon Text"/>
    <w:basedOn w:val="Normal"/>
    <w:link w:val="BalloonTextChar"/>
    <w:uiPriority w:val="99"/>
    <w:semiHidden/>
    <w:unhideWhenUsed/>
    <w:rsid w:val="00BA4A27"/>
    <w:pPr>
      <w:contextualSpacing w:val="0"/>
      <w:jc w:val="left"/>
    </w:pPr>
    <w:rPr>
      <w:rFonts w:ascii="Tahoma" w:eastAsia="Times New Roman" w:hAnsi="Tahoma" w:cs="Tahoma"/>
      <w:sz w:val="16"/>
      <w:szCs w:val="16"/>
      <w:lang w:val="en-ID"/>
    </w:rPr>
  </w:style>
  <w:style w:type="character" w:customStyle="1" w:styleId="BalloonTextChar">
    <w:name w:val="Balloon Text Char"/>
    <w:basedOn w:val="DefaultParagraphFont"/>
    <w:link w:val="BalloonText"/>
    <w:uiPriority w:val="99"/>
    <w:semiHidden/>
    <w:rsid w:val="00BA4A27"/>
    <w:rPr>
      <w:rFonts w:ascii="Tahoma" w:eastAsia="Times New Roman" w:hAnsi="Tahoma" w:cs="Tahoma"/>
      <w:sz w:val="16"/>
      <w:szCs w:val="16"/>
      <w:lang w:val="en-ID"/>
    </w:rPr>
  </w:style>
  <w:style w:type="table" w:styleId="DarkList-Accent6">
    <w:name w:val="Dark List Accent 6"/>
    <w:basedOn w:val="TableNormal"/>
    <w:uiPriority w:val="70"/>
    <w:rsid w:val="00BA4A27"/>
    <w:pPr>
      <w:widowControl w:val="0"/>
      <w:autoSpaceDE w:val="0"/>
      <w:autoSpaceDN w:val="0"/>
      <w:spacing w:after="0" w:line="240" w:lineRule="auto"/>
    </w:pPr>
    <w:rPr>
      <w:rFonts w:eastAsiaTheme="minorHAnsi"/>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BodyText">
    <w:name w:val="Body Text"/>
    <w:basedOn w:val="Normal"/>
    <w:link w:val="BodyTextChar"/>
    <w:uiPriority w:val="1"/>
    <w:unhideWhenUsed/>
    <w:qFormat/>
    <w:rsid w:val="00BA4A27"/>
    <w:pPr>
      <w:widowControl w:val="0"/>
      <w:autoSpaceDE w:val="0"/>
      <w:autoSpaceDN w:val="0"/>
      <w:contextualSpacing w:val="0"/>
      <w:jc w:val="left"/>
    </w:pPr>
    <w:rPr>
      <w:rFonts w:ascii="Arial MT" w:eastAsia="Arial MT" w:hAnsi="Arial MT" w:cs="Arial MT"/>
      <w:sz w:val="22"/>
      <w:lang w:val="id-ID"/>
    </w:rPr>
  </w:style>
  <w:style w:type="character" w:customStyle="1" w:styleId="BodyTextChar">
    <w:name w:val="Body Text Char"/>
    <w:basedOn w:val="DefaultParagraphFont"/>
    <w:link w:val="BodyText"/>
    <w:uiPriority w:val="1"/>
    <w:rsid w:val="00BA4A27"/>
    <w:rPr>
      <w:rFonts w:ascii="Arial MT" w:eastAsia="Arial MT" w:hAnsi="Arial MT" w:cs="Arial MT"/>
    </w:rPr>
  </w:style>
  <w:style w:type="paragraph" w:styleId="FootnoteText">
    <w:name w:val="footnote text"/>
    <w:basedOn w:val="Normal"/>
    <w:link w:val="FootnoteTextChar"/>
    <w:uiPriority w:val="99"/>
    <w:semiHidden/>
    <w:unhideWhenUsed/>
    <w:rsid w:val="00BA4A27"/>
    <w:pPr>
      <w:contextualSpacing w:val="0"/>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BA4A27"/>
    <w:rPr>
      <w:rFonts w:eastAsiaTheme="minorHAnsi"/>
      <w:sz w:val="20"/>
      <w:szCs w:val="20"/>
      <w:lang w:val="en-US"/>
    </w:rPr>
  </w:style>
  <w:style w:type="character" w:styleId="FootnoteReference">
    <w:name w:val="footnote reference"/>
    <w:basedOn w:val="DefaultParagraphFont"/>
    <w:uiPriority w:val="99"/>
    <w:semiHidden/>
    <w:unhideWhenUsed/>
    <w:rsid w:val="00BA4A27"/>
    <w:rPr>
      <w:vertAlign w:val="superscript"/>
    </w:rPr>
  </w:style>
  <w:style w:type="paragraph" w:customStyle="1" w:styleId="TableParagraph">
    <w:name w:val="Table Paragraph"/>
    <w:basedOn w:val="Normal"/>
    <w:uiPriority w:val="1"/>
    <w:qFormat/>
    <w:rsid w:val="00BA4A27"/>
    <w:pPr>
      <w:widowControl w:val="0"/>
      <w:autoSpaceDE w:val="0"/>
      <w:autoSpaceDN w:val="0"/>
      <w:contextualSpacing w:val="0"/>
      <w:jc w:val="left"/>
    </w:pPr>
    <w:rPr>
      <w:rFonts w:eastAsia="Times New Roman"/>
      <w:sz w:val="22"/>
      <w:lang w:val="id"/>
    </w:rPr>
  </w:style>
  <w:style w:type="paragraph" w:customStyle="1" w:styleId="Isian">
    <w:name w:val="Isian"/>
    <w:basedOn w:val="Normal"/>
    <w:link w:val="IsianChar"/>
    <w:qFormat/>
    <w:rsid w:val="00BA4A27"/>
    <w:pPr>
      <w:widowControl w:val="0"/>
      <w:autoSpaceDE w:val="0"/>
      <w:autoSpaceDN w:val="0"/>
      <w:contextualSpacing w:val="0"/>
    </w:pPr>
    <w:rPr>
      <w:rFonts w:eastAsia="Times New Roman"/>
      <w:szCs w:val="24"/>
      <w:lang w:val="id" w:eastAsia="id"/>
    </w:rPr>
  </w:style>
  <w:style w:type="character" w:customStyle="1" w:styleId="IsianChar">
    <w:name w:val="Isian Char"/>
    <w:basedOn w:val="DefaultParagraphFont"/>
    <w:link w:val="Isian"/>
    <w:qFormat/>
    <w:rsid w:val="00BA4A27"/>
    <w:rPr>
      <w:rFonts w:ascii="Times New Roman" w:eastAsia="Times New Roman" w:hAnsi="Times New Roman" w:cs="Times New Roman"/>
      <w:sz w:val="24"/>
      <w:szCs w:val="24"/>
      <w:lang w:val="id" w:eastAsia="id"/>
    </w:rPr>
  </w:style>
  <w:style w:type="paragraph" w:styleId="NormalWeb">
    <w:name w:val="Normal (Web)"/>
    <w:basedOn w:val="Normal"/>
    <w:uiPriority w:val="99"/>
    <w:unhideWhenUsed/>
    <w:rsid w:val="00BA4A27"/>
    <w:pPr>
      <w:spacing w:before="100" w:beforeAutospacing="1" w:after="100" w:afterAutospacing="1"/>
      <w:contextualSpacing w:val="0"/>
      <w:jc w:val="left"/>
    </w:pPr>
    <w:rPr>
      <w:rFonts w:eastAsia="Times New Roman"/>
      <w:szCs w:val="24"/>
      <w:lang w:val="id-ID" w:eastAsia="id-ID"/>
    </w:rPr>
  </w:style>
  <w:style w:type="character" w:customStyle="1" w:styleId="SebutanYangBelumTerselesaikan1">
    <w:name w:val="Sebutan Yang Belum Terselesaikan1"/>
    <w:basedOn w:val="DefaultParagraphFont"/>
    <w:uiPriority w:val="99"/>
    <w:semiHidden/>
    <w:unhideWhenUsed/>
    <w:rsid w:val="00BA4A27"/>
    <w:rPr>
      <w:color w:val="605E5C"/>
      <w:shd w:val="clear" w:color="auto" w:fill="E1DFDD"/>
    </w:rPr>
  </w:style>
  <w:style w:type="table" w:customStyle="1" w:styleId="TableGridLight11">
    <w:name w:val="Table Grid Light11"/>
    <w:basedOn w:val="TableNormal"/>
    <w:uiPriority w:val="40"/>
    <w:qFormat/>
    <w:rsid w:val="005664D1"/>
    <w:pPr>
      <w:spacing w:after="0" w:line="240" w:lineRule="auto"/>
    </w:pPr>
    <w:rPr>
      <w:rFonts w:eastAsia="Times New Roman"/>
      <w:kern w:val="2"/>
      <w:sz w:val="24"/>
      <w:szCs w:val="24"/>
      <w:lang w:eastAsia="id-ID"/>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uiPriority w:val="40"/>
    <w:rsid w:val="006B0789"/>
    <w:pPr>
      <w:spacing w:after="0" w:line="240" w:lineRule="auto"/>
    </w:pPr>
    <w:rPr>
      <w:rFonts w:eastAsia="DengXi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5">
    <w:name w:val="Table Grid25"/>
    <w:basedOn w:val="TableNormal"/>
    <w:next w:val="TableGrid"/>
    <w:uiPriority w:val="39"/>
    <w:rsid w:val="00E77B2F"/>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77B2F"/>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77B2F"/>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2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809203">
      <w:bodyDiv w:val="1"/>
      <w:marLeft w:val="0"/>
      <w:marRight w:val="0"/>
      <w:marTop w:val="0"/>
      <w:marBottom w:val="0"/>
      <w:divBdr>
        <w:top w:val="none" w:sz="0" w:space="0" w:color="auto"/>
        <w:left w:val="none" w:sz="0" w:space="0" w:color="auto"/>
        <w:bottom w:val="none" w:sz="0" w:space="0" w:color="auto"/>
        <w:right w:val="none" w:sz="0" w:space="0" w:color="auto"/>
      </w:divBdr>
    </w:div>
    <w:div w:id="1271815464">
      <w:bodyDiv w:val="1"/>
      <w:marLeft w:val="0"/>
      <w:marRight w:val="0"/>
      <w:marTop w:val="0"/>
      <w:marBottom w:val="0"/>
      <w:divBdr>
        <w:top w:val="none" w:sz="0" w:space="0" w:color="auto"/>
        <w:left w:val="none" w:sz="0" w:space="0" w:color="auto"/>
        <w:bottom w:val="none" w:sz="0" w:space="0" w:color="auto"/>
        <w:right w:val="none" w:sz="0" w:space="0" w:color="auto"/>
      </w:divBdr>
    </w:div>
    <w:div w:id="1491360908">
      <w:bodyDiv w:val="1"/>
      <w:marLeft w:val="0"/>
      <w:marRight w:val="0"/>
      <w:marTop w:val="0"/>
      <w:marBottom w:val="0"/>
      <w:divBdr>
        <w:top w:val="none" w:sz="0" w:space="0" w:color="auto"/>
        <w:left w:val="none" w:sz="0" w:space="0" w:color="auto"/>
        <w:bottom w:val="none" w:sz="0" w:space="0" w:color="auto"/>
        <w:right w:val="none" w:sz="0" w:space="0" w:color="auto"/>
      </w:divBdr>
    </w:div>
    <w:div w:id="180888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fron_amirullah@uhamka.ac.id"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mailto:meitiyani@uhamka.ac.id"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sintyapelitaningsih@gmail.com"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ndrakidz\Downloads\Pernyataan%20New%20Environmental%20Paradigm%20(NEP)%20dan%20Perilaku%20Pro%20Lingkungan%20Tujuan%20ke-13%20Sustainable%20Development%20Goals%20(SDGs)%20pada%20Calon%20Guru%20Biologi%20(Jawab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Sheet1!$D$4:$D$8</c:f>
              <c:strCache>
                <c:ptCount val="5"/>
                <c:pt idx="0">
                  <c:v>Anti Examtionalism</c:v>
                </c:pt>
                <c:pt idx="1">
                  <c:v>Anti Anthopocentrism</c:v>
                </c:pt>
                <c:pt idx="2">
                  <c:v>Limits To Growth</c:v>
                </c:pt>
                <c:pt idx="3">
                  <c:v>Blance Of Nature</c:v>
                </c:pt>
                <c:pt idx="4">
                  <c:v>eco centris</c:v>
                </c:pt>
              </c:strCache>
            </c:strRef>
          </c:cat>
          <c:val>
            <c:numRef>
              <c:f>Sheet1!$E$4:$E$8</c:f>
              <c:numCache>
                <c:formatCode>0%</c:formatCode>
                <c:ptCount val="5"/>
                <c:pt idx="0">
                  <c:v>0.76</c:v>
                </c:pt>
                <c:pt idx="1">
                  <c:v>0.76</c:v>
                </c:pt>
                <c:pt idx="2">
                  <c:v>0.78</c:v>
                </c:pt>
                <c:pt idx="3">
                  <c:v>0.62</c:v>
                </c:pt>
                <c:pt idx="4">
                  <c:v>0.71</c:v>
                </c:pt>
              </c:numCache>
            </c:numRef>
          </c:val>
          <c:extLst>
            <c:ext xmlns:c16="http://schemas.microsoft.com/office/drawing/2014/chart" uri="{C3380CC4-5D6E-409C-BE32-E72D297353CC}">
              <c16:uniqueId val="{00000000-FBE0-44C2-B4B8-2B3AE767F19E}"/>
            </c:ext>
          </c:extLst>
        </c:ser>
        <c:dLbls>
          <c:showLegendKey val="0"/>
          <c:showVal val="1"/>
          <c:showCatName val="0"/>
          <c:showSerName val="0"/>
          <c:showPercent val="0"/>
          <c:showBubbleSize val="0"/>
        </c:dLbls>
        <c:gapWidth val="267"/>
        <c:overlap val="-43"/>
        <c:axId val="339585912"/>
        <c:axId val="339587088"/>
      </c:barChart>
      <c:catAx>
        <c:axId val="3395859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39587088"/>
        <c:crosses val="autoZero"/>
        <c:auto val="1"/>
        <c:lblAlgn val="ctr"/>
        <c:lblOffset val="100"/>
        <c:noMultiLvlLbl val="0"/>
      </c:catAx>
      <c:valAx>
        <c:axId val="33958708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3958591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5831561679790028"/>
                  <c:y val="-0.13499052201808107"/>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aseline="0">
                        <a:latin typeface="Times New Roman" panose="02020603050405020304" pitchFamily="18" charset="0"/>
                        <a:cs typeface="Times New Roman" panose="02020603050405020304" pitchFamily="18" charset="0"/>
                      </a:rPr>
                      <a:t>y = 0.4219x + 35.104</a:t>
                    </a:r>
                    <a:br>
                      <a:rPr lang="en-US" sz="1100" baseline="0">
                        <a:latin typeface="Times New Roman" panose="02020603050405020304" pitchFamily="18" charset="0"/>
                        <a:cs typeface="Times New Roman" panose="02020603050405020304" pitchFamily="18" charset="0"/>
                      </a:rPr>
                    </a:br>
                    <a:r>
                      <a:rPr lang="en-US" sz="1100" baseline="0">
                        <a:latin typeface="Times New Roman" panose="02020603050405020304" pitchFamily="18" charset="0"/>
                        <a:cs typeface="Times New Roman" panose="02020603050405020304" pitchFamily="18" charset="0"/>
                      </a:rPr>
                      <a:t>R² = 0.2145</a:t>
                    </a:r>
                    <a:endParaRPr lang="en-US" sz="1100">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Sheet2!$A$4:$A$92</c:f>
              <c:numCache>
                <c:formatCode>General</c:formatCode>
                <c:ptCount val="89"/>
                <c:pt idx="0">
                  <c:v>90</c:v>
                </c:pt>
                <c:pt idx="1">
                  <c:v>43</c:v>
                </c:pt>
                <c:pt idx="2">
                  <c:v>78</c:v>
                </c:pt>
                <c:pt idx="3">
                  <c:v>72</c:v>
                </c:pt>
                <c:pt idx="4">
                  <c:v>77</c:v>
                </c:pt>
                <c:pt idx="5">
                  <c:v>78</c:v>
                </c:pt>
                <c:pt idx="6">
                  <c:v>75</c:v>
                </c:pt>
                <c:pt idx="7">
                  <c:v>78</c:v>
                </c:pt>
                <c:pt idx="8">
                  <c:v>77</c:v>
                </c:pt>
                <c:pt idx="9">
                  <c:v>85</c:v>
                </c:pt>
                <c:pt idx="10">
                  <c:v>75</c:v>
                </c:pt>
                <c:pt idx="11">
                  <c:v>78</c:v>
                </c:pt>
                <c:pt idx="12">
                  <c:v>75</c:v>
                </c:pt>
                <c:pt idx="13">
                  <c:v>72</c:v>
                </c:pt>
                <c:pt idx="14">
                  <c:v>72</c:v>
                </c:pt>
                <c:pt idx="15">
                  <c:v>73</c:v>
                </c:pt>
                <c:pt idx="16">
                  <c:v>82</c:v>
                </c:pt>
                <c:pt idx="17">
                  <c:v>72</c:v>
                </c:pt>
                <c:pt idx="18">
                  <c:v>85</c:v>
                </c:pt>
                <c:pt idx="19">
                  <c:v>53</c:v>
                </c:pt>
                <c:pt idx="20">
                  <c:v>73</c:v>
                </c:pt>
                <c:pt idx="21">
                  <c:v>82</c:v>
                </c:pt>
                <c:pt idx="22">
                  <c:v>98</c:v>
                </c:pt>
                <c:pt idx="23">
                  <c:v>82</c:v>
                </c:pt>
                <c:pt idx="24">
                  <c:v>78</c:v>
                </c:pt>
                <c:pt idx="25">
                  <c:v>67</c:v>
                </c:pt>
                <c:pt idx="26">
                  <c:v>78</c:v>
                </c:pt>
                <c:pt idx="27">
                  <c:v>90</c:v>
                </c:pt>
                <c:pt idx="28">
                  <c:v>80</c:v>
                </c:pt>
                <c:pt idx="29">
                  <c:v>88</c:v>
                </c:pt>
                <c:pt idx="30">
                  <c:v>80</c:v>
                </c:pt>
                <c:pt idx="31">
                  <c:v>45</c:v>
                </c:pt>
                <c:pt idx="32">
                  <c:v>73</c:v>
                </c:pt>
                <c:pt idx="33">
                  <c:v>87</c:v>
                </c:pt>
                <c:pt idx="34">
                  <c:v>43</c:v>
                </c:pt>
                <c:pt idx="35">
                  <c:v>38</c:v>
                </c:pt>
                <c:pt idx="36">
                  <c:v>77</c:v>
                </c:pt>
                <c:pt idx="37">
                  <c:v>72</c:v>
                </c:pt>
                <c:pt idx="38">
                  <c:v>75</c:v>
                </c:pt>
                <c:pt idx="39">
                  <c:v>87</c:v>
                </c:pt>
                <c:pt idx="40">
                  <c:v>82</c:v>
                </c:pt>
                <c:pt idx="41">
                  <c:v>68</c:v>
                </c:pt>
                <c:pt idx="42">
                  <c:v>87</c:v>
                </c:pt>
                <c:pt idx="43">
                  <c:v>97</c:v>
                </c:pt>
                <c:pt idx="44">
                  <c:v>47</c:v>
                </c:pt>
                <c:pt idx="45">
                  <c:v>75</c:v>
                </c:pt>
                <c:pt idx="46">
                  <c:v>72</c:v>
                </c:pt>
                <c:pt idx="47">
                  <c:v>73</c:v>
                </c:pt>
                <c:pt idx="48">
                  <c:v>83</c:v>
                </c:pt>
                <c:pt idx="49">
                  <c:v>85</c:v>
                </c:pt>
                <c:pt idx="50">
                  <c:v>88</c:v>
                </c:pt>
                <c:pt idx="51">
                  <c:v>100</c:v>
                </c:pt>
                <c:pt idx="52">
                  <c:v>98</c:v>
                </c:pt>
                <c:pt idx="53">
                  <c:v>63</c:v>
                </c:pt>
                <c:pt idx="54">
                  <c:v>77</c:v>
                </c:pt>
                <c:pt idx="55">
                  <c:v>85</c:v>
                </c:pt>
                <c:pt idx="56">
                  <c:v>98</c:v>
                </c:pt>
                <c:pt idx="57">
                  <c:v>73</c:v>
                </c:pt>
                <c:pt idx="58">
                  <c:v>80</c:v>
                </c:pt>
                <c:pt idx="59">
                  <c:v>82</c:v>
                </c:pt>
                <c:pt idx="60">
                  <c:v>87</c:v>
                </c:pt>
                <c:pt idx="61">
                  <c:v>40</c:v>
                </c:pt>
                <c:pt idx="62">
                  <c:v>88</c:v>
                </c:pt>
                <c:pt idx="63">
                  <c:v>87</c:v>
                </c:pt>
                <c:pt idx="64">
                  <c:v>83</c:v>
                </c:pt>
                <c:pt idx="65">
                  <c:v>82</c:v>
                </c:pt>
                <c:pt idx="66">
                  <c:v>75</c:v>
                </c:pt>
                <c:pt idx="67">
                  <c:v>80</c:v>
                </c:pt>
                <c:pt idx="68">
                  <c:v>73</c:v>
                </c:pt>
                <c:pt idx="69">
                  <c:v>83</c:v>
                </c:pt>
                <c:pt idx="70">
                  <c:v>82</c:v>
                </c:pt>
                <c:pt idx="71">
                  <c:v>85</c:v>
                </c:pt>
                <c:pt idx="72">
                  <c:v>77</c:v>
                </c:pt>
                <c:pt idx="73">
                  <c:v>75</c:v>
                </c:pt>
                <c:pt idx="74">
                  <c:v>83</c:v>
                </c:pt>
                <c:pt idx="75">
                  <c:v>80</c:v>
                </c:pt>
                <c:pt idx="76">
                  <c:v>78</c:v>
                </c:pt>
                <c:pt idx="77">
                  <c:v>78</c:v>
                </c:pt>
                <c:pt idx="78">
                  <c:v>73</c:v>
                </c:pt>
                <c:pt idx="79">
                  <c:v>63</c:v>
                </c:pt>
                <c:pt idx="80">
                  <c:v>75</c:v>
                </c:pt>
                <c:pt idx="81">
                  <c:v>80</c:v>
                </c:pt>
                <c:pt idx="82">
                  <c:v>87</c:v>
                </c:pt>
                <c:pt idx="83">
                  <c:v>83</c:v>
                </c:pt>
                <c:pt idx="84">
                  <c:v>72</c:v>
                </c:pt>
                <c:pt idx="85">
                  <c:v>78</c:v>
                </c:pt>
                <c:pt idx="86">
                  <c:v>78</c:v>
                </c:pt>
                <c:pt idx="87">
                  <c:v>73</c:v>
                </c:pt>
                <c:pt idx="88">
                  <c:v>75</c:v>
                </c:pt>
              </c:numCache>
            </c:numRef>
          </c:xVal>
          <c:yVal>
            <c:numRef>
              <c:f>Sheet2!$B$4:$B$92</c:f>
              <c:numCache>
                <c:formatCode>General</c:formatCode>
                <c:ptCount val="89"/>
                <c:pt idx="0">
                  <c:v>94</c:v>
                </c:pt>
                <c:pt idx="1">
                  <c:v>56</c:v>
                </c:pt>
                <c:pt idx="2">
                  <c:v>60</c:v>
                </c:pt>
                <c:pt idx="3">
                  <c:v>73</c:v>
                </c:pt>
                <c:pt idx="4">
                  <c:v>63</c:v>
                </c:pt>
                <c:pt idx="5">
                  <c:v>75</c:v>
                </c:pt>
                <c:pt idx="6">
                  <c:v>65</c:v>
                </c:pt>
                <c:pt idx="7">
                  <c:v>73</c:v>
                </c:pt>
                <c:pt idx="8">
                  <c:v>71</c:v>
                </c:pt>
                <c:pt idx="9">
                  <c:v>65</c:v>
                </c:pt>
                <c:pt idx="10">
                  <c:v>65</c:v>
                </c:pt>
                <c:pt idx="11">
                  <c:v>69</c:v>
                </c:pt>
                <c:pt idx="12">
                  <c:v>69</c:v>
                </c:pt>
                <c:pt idx="13">
                  <c:v>69</c:v>
                </c:pt>
                <c:pt idx="14">
                  <c:v>77</c:v>
                </c:pt>
                <c:pt idx="15">
                  <c:v>73</c:v>
                </c:pt>
                <c:pt idx="16">
                  <c:v>71</c:v>
                </c:pt>
                <c:pt idx="17">
                  <c:v>69</c:v>
                </c:pt>
                <c:pt idx="18">
                  <c:v>77</c:v>
                </c:pt>
                <c:pt idx="19">
                  <c:v>58</c:v>
                </c:pt>
                <c:pt idx="20">
                  <c:v>73</c:v>
                </c:pt>
                <c:pt idx="21">
                  <c:v>38</c:v>
                </c:pt>
                <c:pt idx="22">
                  <c:v>100</c:v>
                </c:pt>
                <c:pt idx="23">
                  <c:v>71</c:v>
                </c:pt>
                <c:pt idx="24">
                  <c:v>77</c:v>
                </c:pt>
                <c:pt idx="25">
                  <c:v>58</c:v>
                </c:pt>
                <c:pt idx="26">
                  <c:v>67</c:v>
                </c:pt>
                <c:pt idx="27">
                  <c:v>52</c:v>
                </c:pt>
                <c:pt idx="28">
                  <c:v>50</c:v>
                </c:pt>
                <c:pt idx="29">
                  <c:v>65</c:v>
                </c:pt>
                <c:pt idx="30">
                  <c:v>56</c:v>
                </c:pt>
                <c:pt idx="31">
                  <c:v>69</c:v>
                </c:pt>
                <c:pt idx="32">
                  <c:v>71</c:v>
                </c:pt>
                <c:pt idx="33">
                  <c:v>81</c:v>
                </c:pt>
                <c:pt idx="34">
                  <c:v>50</c:v>
                </c:pt>
                <c:pt idx="35">
                  <c:v>46</c:v>
                </c:pt>
                <c:pt idx="36">
                  <c:v>67</c:v>
                </c:pt>
                <c:pt idx="37">
                  <c:v>63</c:v>
                </c:pt>
                <c:pt idx="38">
                  <c:v>60</c:v>
                </c:pt>
                <c:pt idx="39">
                  <c:v>85</c:v>
                </c:pt>
                <c:pt idx="40">
                  <c:v>60</c:v>
                </c:pt>
                <c:pt idx="41">
                  <c:v>58</c:v>
                </c:pt>
                <c:pt idx="42">
                  <c:v>73</c:v>
                </c:pt>
                <c:pt idx="43">
                  <c:v>75</c:v>
                </c:pt>
                <c:pt idx="44">
                  <c:v>50</c:v>
                </c:pt>
                <c:pt idx="45">
                  <c:v>65</c:v>
                </c:pt>
                <c:pt idx="46">
                  <c:v>58</c:v>
                </c:pt>
                <c:pt idx="47">
                  <c:v>73</c:v>
                </c:pt>
                <c:pt idx="48">
                  <c:v>65</c:v>
                </c:pt>
                <c:pt idx="49">
                  <c:v>83</c:v>
                </c:pt>
                <c:pt idx="50">
                  <c:v>85</c:v>
                </c:pt>
                <c:pt idx="51">
                  <c:v>75</c:v>
                </c:pt>
                <c:pt idx="52">
                  <c:v>63</c:v>
                </c:pt>
                <c:pt idx="53">
                  <c:v>48</c:v>
                </c:pt>
                <c:pt idx="54">
                  <c:v>56</c:v>
                </c:pt>
                <c:pt idx="55">
                  <c:v>71</c:v>
                </c:pt>
                <c:pt idx="56">
                  <c:v>73</c:v>
                </c:pt>
                <c:pt idx="57">
                  <c:v>58</c:v>
                </c:pt>
                <c:pt idx="58">
                  <c:v>65</c:v>
                </c:pt>
                <c:pt idx="59">
                  <c:v>92</c:v>
                </c:pt>
                <c:pt idx="60">
                  <c:v>56</c:v>
                </c:pt>
                <c:pt idx="61">
                  <c:v>63</c:v>
                </c:pt>
                <c:pt idx="62">
                  <c:v>77</c:v>
                </c:pt>
                <c:pt idx="63">
                  <c:v>79</c:v>
                </c:pt>
                <c:pt idx="64">
                  <c:v>56</c:v>
                </c:pt>
                <c:pt idx="65">
                  <c:v>56</c:v>
                </c:pt>
                <c:pt idx="66">
                  <c:v>69</c:v>
                </c:pt>
                <c:pt idx="67">
                  <c:v>79</c:v>
                </c:pt>
                <c:pt idx="68">
                  <c:v>46</c:v>
                </c:pt>
                <c:pt idx="69">
                  <c:v>73</c:v>
                </c:pt>
                <c:pt idx="70">
                  <c:v>75</c:v>
                </c:pt>
                <c:pt idx="71">
                  <c:v>75</c:v>
                </c:pt>
                <c:pt idx="72">
                  <c:v>63</c:v>
                </c:pt>
                <c:pt idx="73">
                  <c:v>69</c:v>
                </c:pt>
                <c:pt idx="74">
                  <c:v>65</c:v>
                </c:pt>
                <c:pt idx="75">
                  <c:v>63</c:v>
                </c:pt>
                <c:pt idx="76">
                  <c:v>88</c:v>
                </c:pt>
                <c:pt idx="77">
                  <c:v>79</c:v>
                </c:pt>
                <c:pt idx="78">
                  <c:v>77</c:v>
                </c:pt>
                <c:pt idx="79">
                  <c:v>63</c:v>
                </c:pt>
                <c:pt idx="80">
                  <c:v>65</c:v>
                </c:pt>
                <c:pt idx="81">
                  <c:v>69</c:v>
                </c:pt>
                <c:pt idx="82">
                  <c:v>81</c:v>
                </c:pt>
                <c:pt idx="83">
                  <c:v>79</c:v>
                </c:pt>
                <c:pt idx="84">
                  <c:v>56</c:v>
                </c:pt>
                <c:pt idx="85">
                  <c:v>65</c:v>
                </c:pt>
                <c:pt idx="86">
                  <c:v>65</c:v>
                </c:pt>
                <c:pt idx="87">
                  <c:v>63</c:v>
                </c:pt>
                <c:pt idx="88">
                  <c:v>63</c:v>
                </c:pt>
              </c:numCache>
            </c:numRef>
          </c:yVal>
          <c:smooth val="0"/>
          <c:extLst>
            <c:ext xmlns:c16="http://schemas.microsoft.com/office/drawing/2014/chart" uri="{C3380CC4-5D6E-409C-BE32-E72D297353CC}">
              <c16:uniqueId val="{00000001-AD5D-4E30-9B9D-AF8C43D1E432}"/>
            </c:ext>
          </c:extLst>
        </c:ser>
        <c:dLbls>
          <c:showLegendKey val="0"/>
          <c:showVal val="0"/>
          <c:showCatName val="0"/>
          <c:showSerName val="0"/>
          <c:showPercent val="0"/>
          <c:showBubbleSize val="0"/>
        </c:dLbls>
        <c:axId val="339588264"/>
        <c:axId val="339585520"/>
      </c:scatterChart>
      <c:valAx>
        <c:axId val="339588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PROLINGKUNGAN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585520"/>
        <c:crosses val="autoZero"/>
        <c:crossBetween val="midCat"/>
      </c:valAx>
      <c:valAx>
        <c:axId val="3395855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r>
                  <a:rPr lang="en-US" sz="1100" b="1" i="0">
                    <a:latin typeface="Times New Roman" panose="02020603050405020304" pitchFamily="18" charset="0"/>
                    <a:cs typeface="Times New Roman" panose="02020603050405020304" pitchFamily="18" charset="0"/>
                  </a:rPr>
                  <a:t>NEP</a:t>
                </a:r>
              </a:p>
            </c:rich>
          </c:tx>
          <c:overlay val="0"/>
          <c:spPr>
            <a:noFill/>
            <a:ln>
              <a:noFill/>
            </a:ln>
            <a:effectLst/>
          </c:spPr>
          <c:txPr>
            <a:bodyPr rot="-5400000" spcFirstLastPara="1" vertOverflow="ellipsis" vert="horz" wrap="square" anchor="ctr" anchorCtr="1"/>
            <a:lstStyle/>
            <a:p>
              <a:pPr>
                <a:defRPr sz="1000" b="0" i="1"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5882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0249-FF34-48D6-B0F2-D09D99F2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11179</Words>
  <Characters>63725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Zuhar Ricky</dc:creator>
  <cp:keywords/>
  <dc:description/>
  <cp:lastModifiedBy>Kevin william andri Siahaan</cp:lastModifiedBy>
  <cp:revision>2</cp:revision>
  <dcterms:created xsi:type="dcterms:W3CDTF">2024-07-31T13:57:00Z</dcterms:created>
  <dcterms:modified xsi:type="dcterms:W3CDTF">2024-07-31T13:57:00Z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http://csl.mendeley.com/styles/661326731/APA-lalumuliyadi</vt:lpwstr>
  </property>
  <property fmtid="{D5CDD505-2E9C-101B-9397-08002B2CF9AE}" pid="9" name="Mendeley Recent Style Name 3_1">
    <vt:lpwstr>American Psychological Association 7th edition - Lalu Muliyadi Lalu Muliyadi</vt:lpwstr>
  </property>
  <property fmtid="{D5CDD505-2E9C-101B-9397-08002B2CF9AE}" pid="10" name="Mendeley Recent Style Id 4_1">
    <vt:lpwstr>http://csl.mendeley.com/styles/634991461/apa-222222</vt:lpwstr>
  </property>
  <property fmtid="{D5CDD505-2E9C-101B-9397-08002B2CF9AE}" pid="11" name="Mendeley Recent Style Name 4_1">
    <vt:lpwstr>American Psychological Association 7th edition - latifah izzatul jannah eli asmarni</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 6th edition</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6293c2f7-713e-3a39-9c03-312c1749d819</vt:lpwstr>
  </property>
  <property fmtid="{D5CDD505-2E9C-101B-9397-08002B2CF9AE}" pid="24" name="Mendeley Citation Style_1">
    <vt:lpwstr>http://www.zotero.org/styles/apa</vt:lpwstr>
  </property>
</Properties>
</file>